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山东农业大学本科专业人才培养方案</w:t>
      </w:r>
    </w:p>
    <w:p>
      <w:pPr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hint="eastAsia" w:ascii="方正小标宋简体" w:eastAsia="方正小标宋简体"/>
          <w:sz w:val="32"/>
          <w:szCs w:val="44"/>
        </w:rPr>
        <w:t>茶学</w:t>
      </w:r>
      <w:r>
        <w:rPr>
          <w:rFonts w:ascii="方正小标宋简体" w:eastAsia="方正小标宋简体"/>
          <w:sz w:val="32"/>
          <w:szCs w:val="44"/>
        </w:rPr>
        <w:t>专业</w:t>
      </w:r>
    </w:p>
    <w:p>
      <w:pPr>
        <w:spacing w:line="540" w:lineRule="exact"/>
        <w:ind w:firstLine="707" w:firstLineChars="221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（自2022级实施）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FZXBSJW--GB1-0"/>
          <w:kern w:val="0"/>
          <w:sz w:val="32"/>
          <w:szCs w:val="32"/>
        </w:rPr>
        <w:t>一</w:t>
      </w:r>
      <w:r>
        <w:rPr>
          <w:rFonts w:ascii="黑体" w:hAnsi="黑体" w:eastAsia="黑体" w:cs="FZXBSJW--GB1-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专业概况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</w:t>
      </w:r>
      <w:r>
        <w:rPr>
          <w:rFonts w:ascii="楷体" w:hAnsi="楷体" w:eastAsia="楷体"/>
          <w:sz w:val="32"/>
          <w:szCs w:val="32"/>
        </w:rPr>
        <w:t>简介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（说明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正文</w:t>
      </w:r>
      <w:r>
        <w:rPr>
          <w:rFonts w:ascii="仿宋_GB2312" w:hAnsi="仿宋" w:eastAsia="仿宋_GB2312"/>
          <w:sz w:val="32"/>
          <w:szCs w:val="32"/>
        </w:rPr>
        <w:t>格式</w:t>
      </w:r>
      <w:r>
        <w:rPr>
          <w:rFonts w:hint="eastAsia" w:ascii="仿宋_GB2312" w:hAnsi="仿宋" w:eastAsia="仿宋_GB2312"/>
          <w:sz w:val="32"/>
          <w:szCs w:val="32"/>
        </w:rPr>
        <w:t>，三号仿宋_GB2312，行距28磅。专业</w:t>
      </w:r>
      <w:r>
        <w:rPr>
          <w:rFonts w:ascii="仿宋_GB2312" w:hAnsi="仿宋" w:eastAsia="仿宋_GB2312"/>
          <w:sz w:val="32"/>
          <w:szCs w:val="32"/>
        </w:rPr>
        <w:t>简介</w:t>
      </w:r>
      <w:r>
        <w:rPr>
          <w:rFonts w:hint="eastAsia" w:ascii="仿宋_GB2312" w:hAnsi="仿宋" w:eastAsia="仿宋_GB2312"/>
          <w:sz w:val="32"/>
          <w:szCs w:val="32"/>
        </w:rPr>
        <w:t>可</w:t>
      </w:r>
      <w:r>
        <w:rPr>
          <w:rFonts w:ascii="仿宋_GB2312" w:hAnsi="仿宋" w:eastAsia="仿宋_GB2312"/>
          <w:sz w:val="32"/>
          <w:szCs w:val="32"/>
        </w:rPr>
        <w:t>针对专业历史</w:t>
      </w:r>
      <w:r>
        <w:rPr>
          <w:rFonts w:hint="eastAsia" w:ascii="仿宋_GB2312" w:hAnsi="仿宋" w:eastAsia="仿宋_GB2312"/>
          <w:sz w:val="32"/>
          <w:szCs w:val="32"/>
        </w:rPr>
        <w:t>沿革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特色</w:t>
      </w:r>
      <w:r>
        <w:rPr>
          <w:rFonts w:ascii="仿宋_GB2312" w:hAnsi="仿宋" w:eastAsia="仿宋_GB2312"/>
          <w:sz w:val="32"/>
          <w:szCs w:val="32"/>
        </w:rPr>
        <w:t>优势、</w:t>
      </w:r>
      <w:r>
        <w:rPr>
          <w:rFonts w:hint="eastAsia" w:ascii="仿宋_GB2312" w:hAnsi="仿宋" w:eastAsia="仿宋_GB2312"/>
          <w:sz w:val="32"/>
          <w:szCs w:val="32"/>
        </w:rPr>
        <w:t>专业</w:t>
      </w:r>
      <w:r>
        <w:rPr>
          <w:rFonts w:ascii="仿宋_GB2312" w:hAnsi="仿宋" w:eastAsia="仿宋_GB2312"/>
          <w:sz w:val="32"/>
          <w:szCs w:val="32"/>
        </w:rPr>
        <w:t>师资队伍等情况</w:t>
      </w:r>
      <w:r>
        <w:rPr>
          <w:rFonts w:hint="eastAsia" w:ascii="仿宋_GB2312" w:hAnsi="仿宋" w:eastAsia="仿宋_GB2312"/>
          <w:sz w:val="32"/>
          <w:szCs w:val="32"/>
        </w:rPr>
        <w:t>进行简要</w:t>
      </w:r>
      <w:r>
        <w:rPr>
          <w:rFonts w:ascii="仿宋_GB2312" w:hAnsi="仿宋" w:eastAsia="仿宋_GB2312"/>
          <w:sz w:val="32"/>
          <w:szCs w:val="32"/>
        </w:rPr>
        <w:t>表述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0字</w:t>
      </w:r>
      <w:r>
        <w:rPr>
          <w:rFonts w:ascii="仿宋_GB2312" w:hAnsi="仿宋" w:eastAsia="仿宋_GB2312"/>
          <w:sz w:val="32"/>
          <w:szCs w:val="32"/>
        </w:rPr>
        <w:t>以内。）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2002年，山东农业大学园艺科学与工程学院设立茶学系，是江北茶区最早设立茶学本科及以上学历教育的高等院校。经过20年的发展，茶学系已成为茶学专业人才培养、茶叶科技创新以及技术成果推广转化的重要基地。</w:t>
      </w:r>
      <w:r>
        <w:rPr>
          <w:rFonts w:hint="eastAsia" w:ascii="仿宋_GB2312" w:hAnsi="仿宋" w:eastAsia="仿宋_GB2312"/>
          <w:sz w:val="32"/>
          <w:szCs w:val="32"/>
        </w:rPr>
        <w:t>茶学专业</w:t>
      </w:r>
      <w:r>
        <w:rPr>
          <w:rFonts w:ascii="仿宋_GB2312" w:hAnsi="仿宋" w:eastAsia="仿宋_GB2312"/>
          <w:sz w:val="32"/>
          <w:szCs w:val="32"/>
        </w:rPr>
        <w:t>2013年建立，</w:t>
      </w:r>
      <w:r>
        <w:rPr>
          <w:rFonts w:hint="eastAsia" w:ascii="仿宋_GB2312" w:hAnsi="仿宋" w:eastAsia="仿宋_GB2312"/>
          <w:sz w:val="32"/>
          <w:szCs w:val="32"/>
        </w:rPr>
        <w:t>本专业主要培养具有生物科学、食品科学、农业经济和管理等基础知识，具备茶树种植、茶叶加工、茶叶审评与检验、茶叶营销等知识技能扎实的和较高人文综合素质专业技术人才。本专业有校级一流课程《茶文化学》，并入选</w:t>
      </w:r>
      <w:r>
        <w:rPr>
          <w:rFonts w:ascii="仿宋_GB2312" w:hAnsi="仿宋" w:eastAsia="仿宋_GB2312"/>
          <w:sz w:val="32"/>
          <w:szCs w:val="32"/>
        </w:rPr>
        <w:t>2021年度山东省高校课程联盟。参与建设省级一流课程1门。</w:t>
      </w:r>
      <w:r>
        <w:rPr>
          <w:rFonts w:hint="eastAsia" w:ascii="仿宋_GB2312" w:hAnsi="仿宋" w:eastAsia="仿宋_GB2312"/>
          <w:sz w:val="32"/>
          <w:szCs w:val="32"/>
        </w:rPr>
        <w:t>多次荣获省级、校级教学成果奖。培养的本科生创新创业能力较强，学生多人次在全国、省级大学生创新创业大赛和茶艺大赛中获奖，编创的主题茶艺节目《泰山茶礼》多次在泰山茶推介会、国际茶日及山东茶事活动上演出。培养了培养了“国家青年千人计划人才”、“中国大学生自强之星”、“山东大学生十大创业之星”等优秀学生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</w:t>
      </w:r>
      <w:r>
        <w:rPr>
          <w:rFonts w:ascii="楷体" w:hAnsi="楷体" w:eastAsia="楷体"/>
          <w:sz w:val="32"/>
          <w:szCs w:val="32"/>
        </w:rPr>
        <w:t>代码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ascii="楷体" w:hAnsi="楷体" w:eastAsia="楷体"/>
          <w:sz w:val="32"/>
          <w:szCs w:val="32"/>
        </w:rPr>
        <w:t>090107T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主干</w:t>
      </w:r>
      <w:r>
        <w:rPr>
          <w:rFonts w:ascii="楷体" w:hAnsi="楷体" w:eastAsia="楷体"/>
          <w:sz w:val="32"/>
          <w:szCs w:val="32"/>
        </w:rPr>
        <w:t>学科</w:t>
      </w:r>
      <w:r>
        <w:rPr>
          <w:rFonts w:hint="eastAsia" w:ascii="楷体" w:hAnsi="楷体" w:eastAsia="楷体"/>
          <w:sz w:val="32"/>
          <w:szCs w:val="32"/>
        </w:rPr>
        <w:t>：茶学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学制与学位：</w:t>
      </w:r>
      <w:r>
        <w:rPr>
          <w:rFonts w:hint="eastAsia" w:ascii="仿宋_GB2312" w:hAnsi="仿宋" w:eastAsia="仿宋_GB2312"/>
          <w:sz w:val="32"/>
          <w:szCs w:val="32"/>
        </w:rPr>
        <w:t>本科基本学制为4年，学习年限为 3～6 年；按要求完成学业且符合学位授予条件者授予农学学士学位。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培养目标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专业培养“德、智、体、美”全面发展，具有较广泛的自然科学、人文社会科学知识，具有较强的外语、计算机应用能力，具备茶学系统理论知识和技能，熟悉国内外茶叶产业和茶叶科技发展现状、趋势以及茶叶标准、技术规范，具有良好的政治思想素养和职业道德规范，能在农业、工业、商贸等领域或部门从事茶学有关的生产技术应用与推广，产品质量控制、新产品研发与技术创新、产品营销与企业管理、教学与科研等方面工作的高素质创新型、专业型人才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本</w:t>
      </w:r>
      <w:r>
        <w:rPr>
          <w:rFonts w:ascii="楷体" w:hAnsi="楷体" w:eastAsia="楷体"/>
          <w:sz w:val="32"/>
          <w:szCs w:val="32"/>
        </w:rPr>
        <w:t>专业毕业生经过</w:t>
      </w:r>
      <w:r>
        <w:rPr>
          <w:rFonts w:hint="eastAsia" w:ascii="楷体" w:hAnsi="楷体" w:eastAsia="楷体"/>
          <w:sz w:val="32"/>
          <w:szCs w:val="32"/>
        </w:rPr>
        <w:t>5年</w:t>
      </w:r>
      <w:r>
        <w:rPr>
          <w:rFonts w:ascii="楷体" w:hAnsi="楷体" w:eastAsia="楷体"/>
          <w:sz w:val="32"/>
          <w:szCs w:val="32"/>
        </w:rPr>
        <w:t>左右的职业历练，将达成以下培养目标：</w:t>
      </w:r>
      <w:r>
        <w:rPr>
          <w:rFonts w:hint="eastAsia" w:ascii="仿宋_GB2312" w:hAnsi="仿宋" w:eastAsia="仿宋_GB2312"/>
          <w:sz w:val="32"/>
          <w:szCs w:val="32"/>
        </w:rPr>
        <w:t>（一</w:t>
      </w:r>
      <w:r>
        <w:rPr>
          <w:rFonts w:ascii="仿宋_GB2312" w:hAnsi="仿宋" w:eastAsia="仿宋_GB2312"/>
          <w:sz w:val="32"/>
          <w:szCs w:val="32"/>
        </w:rPr>
        <w:t>般可拆分为</w:t>
      </w:r>
      <w:r>
        <w:rPr>
          <w:rFonts w:hint="eastAsia" w:ascii="仿宋_GB2312" w:hAnsi="仿宋" w:eastAsia="仿宋_GB2312"/>
          <w:sz w:val="32"/>
          <w:szCs w:val="32"/>
        </w:rPr>
        <w:t>3-5条</w:t>
      </w:r>
      <w:r>
        <w:rPr>
          <w:rFonts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bookmarkStart w:id="0" w:name="_Hlk114127629"/>
      <w:r>
        <w:rPr>
          <w:rFonts w:hint="eastAsia" w:ascii="楷体" w:hAnsi="楷体" w:eastAsia="楷体"/>
          <w:sz w:val="32"/>
          <w:szCs w:val="32"/>
        </w:rPr>
        <w:t>培养目标1：</w:t>
      </w:r>
      <w:bookmarkEnd w:id="0"/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具有较广泛的自然科学、人文社会科学基础知识，具有较强的外语、计算机应用能力。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培养目标2：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具备茶学系统理论知识和技能，熟悉国内外茶叶产业和茶叶科技发展现状、趋势以及茶叶标准、技术规范。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培养目标</w:t>
      </w: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具有良好的政治思想素养和职业道德。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培养目标</w:t>
      </w: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能在农业、工业、商贸等领域或部门从事茶学有关的生产技术应用与推广，产品质量控制、新产品研发与技术创新、营销与企业管理、教学与科研等方面从事创新性、专业性工作。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毕业要求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</w:t>
      </w:r>
      <w:r>
        <w:rPr>
          <w:rFonts w:hint="eastAsia" w:ascii="楷体" w:hAnsi="楷体" w:eastAsia="楷体"/>
          <w:sz w:val="32"/>
          <w:szCs w:val="32"/>
        </w:rPr>
        <w:t>1：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构建合理的知识结构：完成学科基础课程和通识课程的学习，掌握自然科学（生物学、数学、物理学、化学、环境与资源学）和人文社会科学（历史学、哲学、逻辑学、心理学、法学、经济学、管理学）基础知识，具有较高的科学与人文修养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bookmarkStart w:id="1" w:name="_Hlk114131286"/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求2</w:t>
      </w:r>
      <w:r>
        <w:rPr>
          <w:rFonts w:hint="eastAsia" w:ascii="楷体" w:hAnsi="楷体" w:eastAsia="楷体"/>
          <w:sz w:val="32"/>
          <w:szCs w:val="32"/>
        </w:rPr>
        <w:t>：</w:t>
      </w:r>
    </w:p>
    <w:bookmarkEnd w:id="1"/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备较强的外语、计算机应用能力：能运用外语较熟练地阅读专业期刊和进行文献检索、口语交流和科技论文写作；能熟练应用办公软件（Office、WPS）、数据处理软件以及利用网络信息解决学习和实践中遇到的问题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求3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构建系统的茶学专业知识和技能体系。完成专业核心课程、专业方向课程以及部分拓展教育课程的学习，掌握系统的茶学理论知识和技能，具备茶树种植与管理、茶叶加工、茶叶审评与检验、茶叶营销和茶文化传播方面的方法与能力；熟悉国内外茶叶产业和茶叶科技发展现状、趋势以及茶叶标准、技术规范，了解国家对农业和茶业的有关方针、政策和法规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毕业要求4：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备胜任复杂专业工作的能力。完成各种实验、实践活动，提高综合运用所学知识解决实际问题的能力，能胜任以下主要专业工作：新茶园建设方案制定，茶园周年管理技术方案的优化与组织实施；茶叶加工设备选型与配备，优质茶叶加工与技术培训，茶叶品质管控；能为茶叶消费者专业化介绍茶叶的品质特点、冲泡方法和饮用方法，能根据消费者的体质、爱好和需求，帮助消费者选择一款最适合的茶；能从事茶文化的传播与茶艺创作、培训工作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求5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备创新、创业素养。通过完成SRT项目、参与研究生和导师的科研课题研究、加入“茗风创业团队”、“大益爱心茶室”、“小茶人”创业团队等多样化的创新、创业实践活动，增强创新意识，积累创业经验，使之具有较强的调查研究与决策、组织与管理、创造性思维的能力，具有开展科技创新实验和产品开发的能力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求6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备良好的政治思想素养和职业道德：有正确的政治方向，遵纪守法、诚信为人，有较强的团队意识、良好的人际交往意识以及较强的沟通能力，具有“务实、求真、创新”的精神。具有“忠于职守、爱岗敬业、科学严谨、不断精进”的职业道德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毕业要</w:t>
      </w:r>
      <w:r>
        <w:rPr>
          <w:rFonts w:ascii="楷体" w:hAnsi="楷体" w:eastAsia="楷体"/>
          <w:sz w:val="32"/>
          <w:szCs w:val="32"/>
        </w:rPr>
        <w:t>求7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具备良好的身心素质：具有一定的体育、军事、艺术基本知识，掌握科学锻炼身体和茶艺等生活艺术的基本技能，养成良好的体育锻炼习惯和充满情趣的生活方式，拥有健康的体魄、良好的心态和健全的人格。</w:t>
      </w:r>
    </w:p>
    <w:p>
      <w:pPr>
        <w:autoSpaceDE w:val="0"/>
        <w:autoSpaceDN w:val="0"/>
        <w:adjustRightInd w:val="0"/>
        <w:spacing w:after="190" w:afterLines="50"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表1  毕业要求对培养目标的支撑关系矩阵</w:t>
      </w:r>
    </w:p>
    <w:tbl>
      <w:tblPr>
        <w:tblStyle w:val="9"/>
        <w:tblW w:w="2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21"/>
        <w:gridCol w:w="944"/>
        <w:gridCol w:w="9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93" w:type="pc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培养目标</w:t>
            </w:r>
          </w:p>
          <w:p>
            <w:pPr>
              <w:spacing w:line="400" w:lineRule="exact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毕业要求</w:t>
            </w:r>
          </w:p>
        </w:tc>
        <w:tc>
          <w:tcPr>
            <w:tcW w:w="95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27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1"/>
                <w:szCs w:val="21"/>
              </w:rPr>
              <w:t>目标</w:t>
            </w:r>
            <w:r>
              <w:rPr>
                <w:rFonts w:ascii="黑体" w:hAnsi="黑体" w:eastAsia="黑体"/>
                <w:bCs/>
                <w:snapToGrid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1</w:t>
            </w:r>
          </w:p>
        </w:tc>
        <w:tc>
          <w:tcPr>
            <w:tcW w:w="953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  <w:tc>
          <w:tcPr>
            <w:tcW w:w="881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  <w:tc>
          <w:tcPr>
            <w:tcW w:w="846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27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2</w:t>
            </w:r>
          </w:p>
        </w:tc>
        <w:tc>
          <w:tcPr>
            <w:tcW w:w="953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  <w:tc>
          <w:tcPr>
            <w:tcW w:w="881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  <w:tc>
          <w:tcPr>
            <w:tcW w:w="846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27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3</w:t>
            </w:r>
          </w:p>
        </w:tc>
        <w:tc>
          <w:tcPr>
            <w:tcW w:w="953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  <w:tc>
          <w:tcPr>
            <w:tcW w:w="881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  <w:tc>
          <w:tcPr>
            <w:tcW w:w="846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</w:p>
        </w:tc>
        <w:tc>
          <w:tcPr>
            <w:tcW w:w="827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4</w:t>
            </w:r>
          </w:p>
        </w:tc>
        <w:tc>
          <w:tcPr>
            <w:tcW w:w="95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5</w:t>
            </w:r>
          </w:p>
        </w:tc>
        <w:tc>
          <w:tcPr>
            <w:tcW w:w="95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  <w:tc>
          <w:tcPr>
            <w:tcW w:w="8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  <w:tc>
          <w:tcPr>
            <w:tcW w:w="82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6</w:t>
            </w:r>
          </w:p>
        </w:tc>
        <w:tc>
          <w:tcPr>
            <w:tcW w:w="95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  <w:tc>
          <w:tcPr>
            <w:tcW w:w="8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  <w:tc>
          <w:tcPr>
            <w:tcW w:w="82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要求</w:t>
            </w:r>
            <w:r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  <w:t>7</w:t>
            </w:r>
          </w:p>
        </w:tc>
        <w:tc>
          <w:tcPr>
            <w:tcW w:w="95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  <w:tc>
          <w:tcPr>
            <w:tcW w:w="88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napToGrid w:val="0"/>
                <w:sz w:val="21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1"/>
                <w:szCs w:val="18"/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课程设置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专业核心课程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茶叶生物化学、茶树育种学、茶树栽培学、茶树病虫防治学、茶叶加工学、茶叶审评学、茶叶机械学、茶文化学。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主要实践性教学环节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园艺综合教学实习、茶学实验技术（含茶树育种、茶树栽培、茶树病虫防控、茶叶加工）、茶叶生产认识实习、专业科研训练、创新创业实践、毕业实习与毕业论文。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专业</w:t>
      </w:r>
      <w:r>
        <w:rPr>
          <w:rFonts w:ascii="楷体" w:hAnsi="楷体" w:eastAsia="楷体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阅读</w:t>
      </w:r>
      <w:r>
        <w:rPr>
          <w:rFonts w:ascii="楷体" w:hAnsi="楷体" w:eastAsia="楷体"/>
          <w:sz w:val="32"/>
          <w:szCs w:val="32"/>
        </w:rPr>
        <w:t>计划”</w:t>
      </w:r>
      <w:r>
        <w:rPr>
          <w:rFonts w:hint="eastAsia" w:ascii="楷体" w:hAnsi="楷体" w:eastAsia="楷体"/>
          <w:sz w:val="32"/>
          <w:szCs w:val="32"/>
        </w:rPr>
        <w:t>资源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茶经，陆羽著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《茶经》精读，李勇强著；人民出版社，2022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中国茶经，陈宗懋、杨亚军编；上海文化出版社，2011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中国茶叶大辞典，陈宗懋编；中国轻工业出版社，2012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纪录片：《茶，一片树叶的故事》，央视网，2014。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纪录片：《普洱茶》，央视网，2011。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专业期刊《茶叶科学》，中国茶叶学会；</w:t>
      </w:r>
      <w:r>
        <w:rPr>
          <w:rFonts w:ascii="仿宋_GB2312" w:hAnsi="仿宋" w:eastAsia="仿宋_GB2312"/>
          <w:sz w:val="32"/>
          <w:szCs w:val="32"/>
        </w:rPr>
        <w:t>http://www.tea-science.com/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Beverage Plant Research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Maximum Academic Press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ascii="仿宋_GB2312" w:hAnsi="仿宋" w:eastAsia="仿宋_GB2312"/>
          <w:sz w:val="32"/>
          <w:szCs w:val="32"/>
        </w:rPr>
        <w:t>https://www.maxapress.com/bpr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（四）课程体系对毕业要求支撑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本专业课程体系包括理论课程体系与实践体系。按照“通识教育”、“专业教育”、“拓展教育”、“实践教学”4个培养平台（模块）设置课程。其中，实践教学体系包括基础实践、专业实践和综合实践。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课程设置主要考虑以下要素：一是山东农业大学教务处通知《关于做好本科专业人才培养方案修订等工作的通知》（教通字[20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]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号）中规定的课程及课程比例；二是课程设置能够支撑专业培养目标与培养要求；三是体现我校茶学专业特色。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校茶学专业本科人才培养方案的特色是：在茶学大专业背景下，体现人才培养的区域特色，即：山东是茶叶消费大省的特点，兼顾茶叶一、二、三产业所需专业人才的培养。因此，在课程体系中注重茶叶经济、茶文化以及相关课程的设置，同时在校内依托“茗风创业团队”、“大益爱心茶室”和“艺蘅茶艺社”学生社团开展丰富多彩的实践活动，培养学生的学习兴趣、提高学生从事茶叶二、三产业的能力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另外，课程设置分必修课程与选修课程。其中在专业方向与拓展教育课中，选修课程又分为“专业型”、“创新型”两种类型。“专业型”选修课程是为专业内容、方向拓展而设置的选修课程；“创新型”选修课程是为深入专业研究而设置的拓展课程。为了使课程能够支撑毕业要求与培养目标，对某些选修课程做了限制，若某课程为二者兼有的选修课程（同时标注为“专业型”与“创新型”课程），这类课程为限选课程，也即必须选修的课程。</w:t>
      </w:r>
    </w:p>
    <w:p>
      <w:pPr>
        <w:autoSpaceDE w:val="0"/>
        <w:autoSpaceDN w:val="0"/>
        <w:adjustRightInd w:val="0"/>
        <w:spacing w:after="190" w:afterLines="50"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表2  课程体系对毕业要求的支撑关系矩阵</w:t>
      </w:r>
    </w:p>
    <w:tbl>
      <w:tblPr>
        <w:tblStyle w:val="9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014"/>
        <w:gridCol w:w="1014"/>
        <w:gridCol w:w="1014"/>
        <w:gridCol w:w="1014"/>
        <w:gridCol w:w="1014"/>
        <w:gridCol w:w="101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3204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ind w:firstLine="1355" w:firstLineChars="750"/>
              <w:jc w:val="right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bookmarkStart w:id="2" w:name="_Hlk115536292"/>
            <w:r>
              <w:rPr>
                <w:rFonts w:hint="eastAsia"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毕业要求</w:t>
            </w:r>
          </w:p>
          <w:p>
            <w:pPr>
              <w:spacing w:line="240" w:lineRule="exact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课程名称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1014" w:type="dxa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6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snapToGrid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04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napToGrid w:val="0"/>
                <w:sz w:val="18"/>
                <w:szCs w:val="18"/>
              </w:rPr>
              <w:t>思想道德与法治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spacing w:before="114" w:beforeLines="30" w:after="114" w:afterLines="30" w:line="240" w:lineRule="exact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spacing w:before="114" w:beforeLines="30" w:after="114" w:afterLines="30" w:line="240" w:lineRule="exact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spacing w:before="114" w:beforeLines="30" w:after="114" w:afterLines="30" w:line="240" w:lineRule="exact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spacing w:before="114" w:beforeLines="30" w:after="114" w:afterLines="30" w:line="240" w:lineRule="exact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napToGrid w:val="0"/>
                <w:sz w:val="18"/>
                <w:szCs w:val="18"/>
              </w:rPr>
              <w:t>马克思主义基本原理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napToGrid w:val="0"/>
                <w:sz w:val="18"/>
                <w:szCs w:val="18"/>
              </w:rPr>
              <w:t>中国近现代史纲要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napToGrid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形势与政策 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大学生国家安全教育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军事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理论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L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大学生心理健康教育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大学计算机基础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大学计算机基础实验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普通体育课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职业发展类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外国语言类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高等数学C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线性代数B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概率统计B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无机及分析化学1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无机及分析化学2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有机化学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基础化学实验1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基础化学实验2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植物学B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生物化学B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植物生理学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遗传学B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微生物学B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分子生物学B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生物化学实验B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植物生理学实验B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遗传学实验B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微生物学实验B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土壤与肥料学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农业气象学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农业生态学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植物学实验（植物解剖）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植物学实验（植物分类）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生物统计学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园艺学导论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茶树育种学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茶树栽培学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before="38" w:beforeLines="10" w:after="38" w:afterLines="10" w:line="240" w:lineRule="exact"/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茶树病虫防治学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before="38" w:beforeLines="10" w:after="38" w:afterLines="10" w:line="240" w:lineRule="exact"/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茶叶加工学 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before="38" w:beforeLines="10" w:after="38" w:afterLines="10" w:line="240" w:lineRule="exact"/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茶叶审评学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before="38" w:beforeLines="10" w:after="38" w:afterLines="10" w:line="240" w:lineRule="exact"/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茶叶生物化学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before="38" w:beforeLines="10" w:after="38" w:afterLines="10" w:line="240" w:lineRule="exact"/>
              <w:jc w:val="left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茶文化学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茶叶机械学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茶叶综合利用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茶树生物技术 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茶学专业英语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茶叶企业经营管理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茶叶市场营销学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茶艺学 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茶馆经营与管理 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茶学研究法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茶学实验技术 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茶学学科前沿专题讲座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无公害茶叶生产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康养园艺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智慧园艺学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设施环境与调控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文献检索与利用C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军事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技能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劳动实践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体育健康与标准测试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思政社会实践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大学生社会实践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专业认识实习1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专业认识实习2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茶学综合教学实习A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茶学综合教学实习B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茶学课程论文与设计A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茶学课程论文与设计B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专业科研训练A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专业科研训练B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L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创新创业实践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M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毕业实习及报告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0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毕业论文（设计）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  <w:t>H</w:t>
            </w: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napToGrid w:val="0"/>
                <w:sz w:val="18"/>
                <w:szCs w:val="18"/>
              </w:rPr>
            </w:pPr>
          </w:p>
        </w:tc>
      </w:tr>
      <w:bookmarkEnd w:id="2"/>
    </w:tbl>
    <w:p>
      <w:pPr>
        <w:widowControl/>
        <w:ind w:firstLine="420" w:firstLineChars="200"/>
        <w:rPr>
          <w:rFonts w:ascii="仿宋_GB2312" w:hAnsi="仿宋" w:eastAsia="仿宋_GB2312"/>
          <w:sz w:val="24"/>
          <w:szCs w:val="32"/>
        </w:rPr>
      </w:pPr>
      <w:r>
        <w:rPr>
          <w:rFonts w:hint="eastAsia" w:ascii="仿宋_GB2312" w:hAnsi="仿宋" w:eastAsia="仿宋_GB2312" w:cs="黑体"/>
          <w:kern w:val="0"/>
          <w:sz w:val="21"/>
          <w:szCs w:val="24"/>
        </w:rPr>
        <w:t>注：H（高）、M(中)、L（低）”表示课程对毕业要求的支撑强度（支撑强度是指</w:t>
      </w:r>
      <w:r>
        <w:rPr>
          <w:rFonts w:ascii="仿宋_GB2312" w:hAnsi="仿宋" w:eastAsia="仿宋_GB2312" w:cs="黑体"/>
          <w:kern w:val="0"/>
          <w:sz w:val="21"/>
          <w:szCs w:val="24"/>
        </w:rPr>
        <w:t>对毕业要求点的支撑力度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。1.一般一门课程能够支撑3-4项毕业要求，1项</w:t>
      </w:r>
      <w:r>
        <w:rPr>
          <w:rFonts w:ascii="仿宋_GB2312" w:hAnsi="仿宋" w:eastAsia="仿宋_GB2312" w:cs="黑体"/>
          <w:kern w:val="0"/>
          <w:sz w:val="21"/>
          <w:szCs w:val="24"/>
        </w:rPr>
        <w:t>毕业要求有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3-5门</w:t>
      </w:r>
      <w:r>
        <w:rPr>
          <w:rFonts w:ascii="仿宋_GB2312" w:hAnsi="仿宋" w:eastAsia="仿宋_GB2312" w:cs="黑体"/>
          <w:kern w:val="0"/>
          <w:sz w:val="21"/>
          <w:szCs w:val="24"/>
        </w:rPr>
        <w:t>课程支撑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比较合适，过多或过少在一定程度上说明，毕业要求拆分不合理或课程设置不合理。2.列</w:t>
      </w:r>
      <w:r>
        <w:rPr>
          <w:rFonts w:ascii="仿宋_GB2312" w:hAnsi="仿宋" w:eastAsia="仿宋_GB2312" w:cs="黑体"/>
          <w:kern w:val="0"/>
          <w:sz w:val="21"/>
          <w:szCs w:val="24"/>
        </w:rPr>
        <w:t>入表中的要保证所有学生修读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的</w:t>
      </w:r>
      <w:r>
        <w:rPr>
          <w:rFonts w:ascii="仿宋_GB2312" w:hAnsi="仿宋" w:eastAsia="仿宋_GB2312" w:cs="黑体"/>
          <w:kern w:val="0"/>
          <w:sz w:val="21"/>
          <w:szCs w:val="24"/>
        </w:rPr>
        <w:t>课程或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课程</w:t>
      </w:r>
      <w:r>
        <w:rPr>
          <w:rFonts w:ascii="仿宋_GB2312" w:hAnsi="仿宋" w:eastAsia="仿宋_GB2312" w:cs="黑体"/>
          <w:kern w:val="0"/>
          <w:sz w:val="21"/>
          <w:szCs w:val="24"/>
        </w:rPr>
        <w:t>模块。</w:t>
      </w:r>
      <w:r>
        <w:rPr>
          <w:rFonts w:hint="eastAsia" w:ascii="仿宋_GB2312" w:hAnsi="仿宋" w:eastAsia="仿宋_GB2312" w:cs="黑体"/>
          <w:kern w:val="0"/>
          <w:sz w:val="21"/>
          <w:szCs w:val="24"/>
        </w:rPr>
        <w:t>上报时删除括号内容）</w:t>
      </w:r>
    </w:p>
    <w:p>
      <w:pPr>
        <w:autoSpaceDE w:val="0"/>
        <w:autoSpaceDN w:val="0"/>
        <w:adjustRightInd w:val="0"/>
        <w:spacing w:before="190" w:beforeLines="50" w:after="190" w:afterLines="5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学分学时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" w:eastAsia="仿宋_GB2312"/>
          <w:sz w:val="32"/>
          <w:szCs w:val="32"/>
        </w:rPr>
        <w:t>毕业总学分不少于170学分。其中，必修课总学分</w:t>
      </w:r>
      <w:r>
        <w:rPr>
          <w:rFonts w:ascii="仿宋_GB2312" w:hAnsi="仿宋" w:eastAsia="仿宋_GB2312"/>
          <w:sz w:val="32"/>
          <w:szCs w:val="32"/>
        </w:rPr>
        <w:t>148</w:t>
      </w:r>
      <w:r>
        <w:rPr>
          <w:rFonts w:hint="eastAsia" w:ascii="仿宋_GB2312" w:hAnsi="仿宋" w:eastAsia="仿宋_GB2312"/>
          <w:sz w:val="32"/>
          <w:szCs w:val="32"/>
        </w:rPr>
        <w:t>、选修课学分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、实践教学学分</w:t>
      </w:r>
      <w:r>
        <w:rPr>
          <w:rFonts w:ascii="仿宋_GB2312" w:hAnsi="仿宋" w:eastAsia="仿宋_GB2312"/>
          <w:sz w:val="32"/>
          <w:szCs w:val="32"/>
        </w:rPr>
        <w:t>32.5</w:t>
      </w:r>
      <w:r>
        <w:rPr>
          <w:rFonts w:hint="eastAsia" w:ascii="仿宋_GB2312" w:hAnsi="仿宋" w:eastAsia="仿宋_GB2312"/>
          <w:sz w:val="32"/>
          <w:szCs w:val="32"/>
        </w:rPr>
        <w:t>（含操作性实验课学分和实践学分，其中理论课所含的实验实训学分按所占理论课学时进行换算），占总学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分</w:t>
      </w:r>
      <w:r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37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%。</w:t>
      </w:r>
    </w:p>
    <w:p>
      <w:pPr>
        <w:widowControl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  <w:t>六</w:t>
      </w:r>
      <w:r>
        <w:rPr>
          <w:rFonts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  <w:t>教学计划</w:t>
      </w: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（一）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通识教育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必修课程</w:t>
      </w:r>
    </w:p>
    <w:tbl>
      <w:tblPr>
        <w:tblStyle w:val="9"/>
        <w:tblW w:w="9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80"/>
        <w:gridCol w:w="3560"/>
        <w:gridCol w:w="541"/>
        <w:gridCol w:w="634"/>
        <w:gridCol w:w="634"/>
        <w:gridCol w:w="635"/>
        <w:gridCol w:w="602"/>
        <w:gridCol w:w="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类别</w:t>
            </w:r>
          </w:p>
        </w:tc>
        <w:tc>
          <w:tcPr>
            <w:tcW w:w="980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课程号</w:t>
            </w:r>
          </w:p>
        </w:tc>
        <w:tc>
          <w:tcPr>
            <w:tcW w:w="3560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课程名称</w:t>
            </w:r>
          </w:p>
        </w:tc>
        <w:tc>
          <w:tcPr>
            <w:tcW w:w="541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190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学时</w:t>
            </w:r>
          </w:p>
        </w:tc>
        <w:tc>
          <w:tcPr>
            <w:tcW w:w="6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开课学期</w:t>
            </w:r>
          </w:p>
        </w:tc>
        <w:tc>
          <w:tcPr>
            <w:tcW w:w="6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560" w:type="dxa"/>
            <w:vMerge w:val="continue"/>
            <w:noWrap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1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讲授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实验</w:t>
            </w:r>
          </w:p>
        </w:tc>
        <w:tc>
          <w:tcPr>
            <w:tcW w:w="60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思想政治</w:t>
            </w:r>
            <w:r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类</w:t>
            </w:r>
          </w:p>
          <w:p>
            <w:pPr>
              <w:adjustRightInd w:val="0"/>
              <w:snapToGrid w:val="0"/>
              <w:jc w:val="center"/>
              <w:rPr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BK106009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思想道德与法治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Ideology and morality and rule of law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BK106006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马克思主义基本原理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Basic Tenets of Marxism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BK106007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中国近现代史纲要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Compendium of China’s Recent and Modern History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宋体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BK106011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毛泽东思想和中国特色社会主义理论体系概论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Introduction to MAO Zedong Thought and Theoretical System of Socialism with Chinese Characteristics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BK106013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习近平新时代中国特色社会主义思想概论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Introduction to Xi Jinping Thought on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Socialism with Chinese Characteristics for a New Era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BK100021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-</w:t>
            </w: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形势与政策 1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-7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（1-9五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年制）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Situation and Policy 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-7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BK100030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形势与政策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Situation and Policy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马列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国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家安全类</w:t>
            </w: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BK106010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大学生国家安全教育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National Security Education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公管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军事国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防类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BK110001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军事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理论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Military Theory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心理健康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BK106012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生心理健康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Mental Health Education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体育健康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BK108001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普通体育课1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General P.E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.1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BK108002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普通体育课2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General P.E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.2</w:t>
            </w:r>
          </w:p>
        </w:tc>
        <w:tc>
          <w:tcPr>
            <w:tcW w:w="5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信息技术类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BK166007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大学计算机基础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U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niversity 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Computer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Foundation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1.5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BK166008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大学计算机基础实验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Experiments of U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niversity 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Computer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Foundation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0.5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职业发展类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BK100012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学生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职业生涯规划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College Students 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Career  Planning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BK100013</w:t>
            </w:r>
          </w:p>
        </w:tc>
        <w:tc>
          <w:tcPr>
            <w:tcW w:w="3560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学生创新创业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College Students 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Innovation and Entrepreneurship Education  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BK100014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学生就业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教育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College Students 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Employment Education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外国语言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类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BK109028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大学英语读写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College English: Reading and Writing 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BK109030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大学英语听说1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ollege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E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n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glish: Listening and Speaking 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BK109029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大学英语读写2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College English: Reading and Writing 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.0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BK109031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大学英语听说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C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ollege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E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n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glish: Listening and Speaking 2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1.0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BK109032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大学英语进阶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P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rogressive College English 1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.0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BK109033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大学英语进阶2</w:t>
            </w:r>
          </w:p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P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rogressive College English 2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.0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外语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43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合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计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分</w:t>
            </w:r>
          </w:p>
        </w:tc>
        <w:tc>
          <w:tcPr>
            <w:tcW w:w="3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38</w:t>
            </w:r>
          </w:p>
        </w:tc>
      </w:tr>
    </w:tbl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（二）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通识教育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选修课程</w:t>
      </w:r>
    </w:p>
    <w:tbl>
      <w:tblPr>
        <w:tblStyle w:val="9"/>
        <w:tblW w:w="7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757"/>
        <w:gridCol w:w="843"/>
        <w:gridCol w:w="844"/>
        <w:gridCol w:w="844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28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课程模块</w:t>
            </w:r>
          </w:p>
        </w:tc>
        <w:tc>
          <w:tcPr>
            <w:tcW w:w="75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253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学时</w:t>
            </w:r>
          </w:p>
        </w:tc>
        <w:tc>
          <w:tcPr>
            <w:tcW w:w="17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至少</w:t>
            </w: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修读学分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28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5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讲授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实验</w:t>
            </w:r>
          </w:p>
        </w:tc>
        <w:tc>
          <w:tcPr>
            <w:tcW w:w="171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四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史教育类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艺术审美类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体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育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健康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综合素养类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17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合计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49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</w:tr>
    </w:tbl>
    <w:p>
      <w:pPr>
        <w:widowControl/>
        <w:jc w:val="left"/>
        <w:rPr>
          <w:bCs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/>
          <w:bCs/>
          <w:color w:val="auto"/>
          <w:sz w:val="18"/>
          <w:szCs w:val="18"/>
          <w:highlight w:val="none"/>
          <w:shd w:val="clear" w:color="auto" w:fill="auto"/>
        </w:rPr>
        <w:t>注</w:t>
      </w:r>
      <w:r>
        <w:rPr>
          <w:bCs/>
          <w:color w:val="auto"/>
          <w:sz w:val="18"/>
          <w:szCs w:val="18"/>
          <w:highlight w:val="none"/>
          <w:shd w:val="clear" w:color="auto" w:fill="auto"/>
        </w:rPr>
        <w:t>：</w:t>
      </w:r>
      <w:r>
        <w:rPr>
          <w:rFonts w:hint="eastAsia"/>
          <w:bCs/>
          <w:color w:val="auto"/>
          <w:sz w:val="18"/>
          <w:szCs w:val="18"/>
          <w:highlight w:val="none"/>
          <w:shd w:val="clear" w:color="auto" w:fill="auto"/>
        </w:rPr>
        <w:t>综合素养类课程模块建议人文社科类专业学生修</w:t>
      </w:r>
      <w:r>
        <w:rPr>
          <w:bCs/>
          <w:color w:val="auto"/>
          <w:sz w:val="18"/>
          <w:szCs w:val="18"/>
          <w:highlight w:val="none"/>
          <w:shd w:val="clear" w:color="auto" w:fill="auto"/>
        </w:rPr>
        <w:t>读</w:t>
      </w:r>
      <w:r>
        <w:rPr>
          <w:rFonts w:hint="eastAsia"/>
          <w:bCs/>
          <w:color w:val="auto"/>
          <w:sz w:val="18"/>
          <w:szCs w:val="18"/>
          <w:highlight w:val="none"/>
          <w:shd w:val="clear" w:color="auto" w:fill="auto"/>
        </w:rPr>
        <w:t>自然科学课程，</w:t>
      </w:r>
      <w:r>
        <w:rPr>
          <w:bCs/>
          <w:color w:val="auto"/>
          <w:sz w:val="18"/>
          <w:szCs w:val="18"/>
          <w:highlight w:val="none"/>
          <w:shd w:val="clear" w:color="auto" w:fill="auto"/>
        </w:rPr>
        <w:t>理工农医科专业学生修读社科类课程。</w:t>
      </w: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（三）学科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基础课</w:t>
      </w:r>
    </w:p>
    <w:tbl>
      <w:tblPr>
        <w:tblStyle w:val="9"/>
        <w:tblW w:w="9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808"/>
        <w:gridCol w:w="629"/>
        <w:gridCol w:w="644"/>
        <w:gridCol w:w="630"/>
        <w:gridCol w:w="630"/>
        <w:gridCol w:w="658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6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6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80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2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实验</w:t>
            </w:r>
          </w:p>
        </w:tc>
        <w:tc>
          <w:tcPr>
            <w:tcW w:w="65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BK103004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高等数学C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Advanced Mathematics C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BK103013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线性代数B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BK103016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概率统计B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BK101001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无机及分析化学1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Inorganic 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＆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Analytical Chemistry 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BK101002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无机及分析化学2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Inorganic 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＆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Analytical Chemistry 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BK101003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有机化学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Organic Chemistry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BK101004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基础化学实验1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Basic Chemistry Experiments 1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BK101005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基础化学实验2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Basic Chemistry Experiments 2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BK035001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植物学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Botany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BK035005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生物化学B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Biochemistry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BK061006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植物生理学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Plant Physiology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BK006008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遗传学B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Genetics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BK034001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微生物学B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Microbiology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BK035003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分子生物学B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Molecular Biology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BK035006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生物化学实验B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Biochemistry Experiments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38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BK061007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植物生理学实验B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Experiments of Plant Physiology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BK006009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遗传学实验B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Experiments of Genetics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BK034002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微生物学实验B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Experiments of Microbiology B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BK012015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农业气象学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Agricultural Meteorology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资环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BK006006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农业生态学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Agroecology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BK035002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植物学实验（植物解剖）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Botany 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Experiments（Plant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Anatomy）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BK035004</w:t>
            </w:r>
          </w:p>
        </w:tc>
        <w:tc>
          <w:tcPr>
            <w:tcW w:w="38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植物学实验（植物分类）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Botany 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Experiments（Plant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Taxonomy）</w:t>
            </w:r>
          </w:p>
        </w:tc>
        <w:tc>
          <w:tcPr>
            <w:tcW w:w="62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0.5</w:t>
            </w:r>
          </w:p>
        </w:tc>
        <w:tc>
          <w:tcPr>
            <w:tcW w:w="64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生科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BK103023</w:t>
            </w:r>
          </w:p>
        </w:tc>
        <w:tc>
          <w:tcPr>
            <w:tcW w:w="3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试验设计与统计分析B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Experimental design and statistical analysis B</w:t>
            </w:r>
          </w:p>
        </w:tc>
        <w:tc>
          <w:tcPr>
            <w:tcW w:w="62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81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</w:tcPr>
          <w:p>
            <w:pP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BK013021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土壤与肥料学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Soil and Fertilizer Science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资环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BK094009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茶叶生物化学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Biological Chemistry 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合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计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分</w:t>
            </w:r>
          </w:p>
        </w:tc>
        <w:tc>
          <w:tcPr>
            <w:tcW w:w="401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49.9  </w:t>
            </w:r>
          </w:p>
        </w:tc>
      </w:tr>
    </w:tbl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（四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专业核心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课</w:t>
      </w:r>
    </w:p>
    <w:tbl>
      <w:tblPr>
        <w:tblStyle w:val="9"/>
        <w:tblW w:w="8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808"/>
        <w:gridCol w:w="629"/>
        <w:gridCol w:w="644"/>
        <w:gridCol w:w="630"/>
        <w:gridCol w:w="630"/>
        <w:gridCol w:w="658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03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03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80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2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实验</w:t>
            </w:r>
          </w:p>
        </w:tc>
        <w:tc>
          <w:tcPr>
            <w:tcW w:w="658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BK0200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3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园艺学导论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Introduction to Horticulture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茶树育种学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Plant Breeding 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BK094002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茶树栽培学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Plant Cultivation 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茶树病虫防治学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Prevention and Treatment of Tea Plant Diseases and Insect Pests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BK094018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茶叶加工学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Processing 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2.6</w:t>
            </w:r>
          </w:p>
        </w:tc>
        <w:tc>
          <w:tcPr>
            <w:tcW w:w="6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BK094005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茶叶审评学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Tea Sensory Evaluation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BK094003</w:t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茶文化学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Tea Culture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48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BK026010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</w:p>
        </w:tc>
        <w:tc>
          <w:tcPr>
            <w:tcW w:w="3808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茶叶机械学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Tea Mechanics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机电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1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合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计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分</w:t>
            </w:r>
          </w:p>
        </w:tc>
        <w:tc>
          <w:tcPr>
            <w:tcW w:w="4010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20.6 </w:t>
            </w:r>
          </w:p>
        </w:tc>
      </w:tr>
    </w:tbl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（五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专业方向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课</w:t>
      </w:r>
    </w:p>
    <w:tbl>
      <w:tblPr>
        <w:tblStyle w:val="9"/>
        <w:tblpPr w:leftFromText="180" w:rightFromText="180" w:vertAnchor="text" w:horzAnchor="margin" w:tblpXSpec="center" w:tblpY="214"/>
        <w:tblW w:w="8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19"/>
        <w:gridCol w:w="547"/>
        <w:gridCol w:w="425"/>
        <w:gridCol w:w="425"/>
        <w:gridCol w:w="426"/>
        <w:gridCol w:w="630"/>
        <w:gridCol w:w="644"/>
        <w:gridCol w:w="644"/>
        <w:gridCol w:w="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课程号</w:t>
            </w:r>
          </w:p>
        </w:tc>
        <w:tc>
          <w:tcPr>
            <w:tcW w:w="3119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课程名称</w:t>
            </w:r>
          </w:p>
        </w:tc>
        <w:tc>
          <w:tcPr>
            <w:tcW w:w="54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开课学期</w:t>
            </w:r>
          </w:p>
        </w:tc>
        <w:tc>
          <w:tcPr>
            <w:tcW w:w="644" w:type="dxa"/>
            <w:vMerge w:val="restart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开课学院</w:t>
            </w:r>
          </w:p>
        </w:tc>
        <w:tc>
          <w:tcPr>
            <w:tcW w:w="6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发展类型</w:t>
            </w:r>
          </w:p>
        </w:tc>
        <w:tc>
          <w:tcPr>
            <w:tcW w:w="7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修读</w:t>
            </w: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42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119" w:type="dxa"/>
            <w:vMerge w:val="continue"/>
            <w:noWrap/>
            <w:vAlign w:val="center"/>
          </w:tcPr>
          <w:p>
            <w:pPr>
              <w:ind w:left="-140" w:leftChars="-50"/>
              <w:jc w:val="center"/>
              <w:rPr>
                <w:b/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7" w:type="dxa"/>
            <w:vMerge w:val="continue"/>
            <w:noWrap/>
            <w:vAlign w:val="center"/>
          </w:tcPr>
          <w:p>
            <w:pPr>
              <w:ind w:left="-140" w:leftChars="-50" w:right="-140" w:rightChars="-50"/>
              <w:jc w:val="center"/>
              <w:rPr>
                <w:b/>
                <w:bCs/>
                <w:color w:val="auto"/>
                <w:spacing w:val="-8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讲授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  <w:t>实验</w:t>
            </w:r>
          </w:p>
        </w:tc>
        <w:tc>
          <w:tcPr>
            <w:tcW w:w="63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44" w:type="dxa"/>
            <w:vMerge w:val="continue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position w:val="-8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XF094003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茶叶综合利用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Comprehensive Utilization 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8" w:leftChars="-3" w:right="-45" w:rightChars="-16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至少选修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22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XF094008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茶树生物技术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Biotechnology 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20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12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XF094005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茶学专业英语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Academic English for Tea Science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XF094002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茶叶企业经营管理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Tea Enterprise Management and Administration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XF094006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茶叶市场营销学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Tea Marketing Management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XF094007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茶艺学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  Art 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14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18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XF094004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茶馆经营与管理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Teahouse Management and Administration 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2</w:t>
            </w: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XF094011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茶学研究法</w:t>
            </w:r>
          </w:p>
          <w:p>
            <w:pPr>
              <w:ind w:left="140" w:leftChars="50" w:right="95" w:rightChars="34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Methodology for Tea Science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XF094012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茶学实验技术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Experimental Technology of Tea Science 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64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XF094013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茶学学科前沿专题讲座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Tea Science Professional Lecture on Research Frontier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XF094014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无公害茶叶生产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Pollution-free Tea Production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XF020034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康养园艺</w:t>
            </w:r>
          </w:p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Kang a gardening</w:t>
            </w: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40" w:leftChars="-50" w:right="-140" w:rightChars="-5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XF020035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智慧园艺学</w:t>
            </w:r>
          </w:p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color="auto" w:fill="auto"/>
              </w:rPr>
              <w:t>Intelligent horticulture</w:t>
            </w: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园艺等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40" w:leftChars="-50" w:right="-140" w:rightChars="-5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  <w:p>
            <w:pPr>
              <w:ind w:left="-140" w:leftChars="-50" w:right="-140" w:rightChars="-5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XF094015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设施环境与调控</w:t>
            </w:r>
          </w:p>
          <w:p>
            <w:pP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color="auto" w:fill="auto"/>
              </w:rPr>
              <w:t>Greenhouse Environment and Control</w:t>
            </w: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园艺</w:t>
            </w: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40" w:leftChars="-50" w:right="-140" w:rightChars="-5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XF107005</w:t>
            </w:r>
          </w:p>
        </w:tc>
        <w:tc>
          <w:tcPr>
            <w:tcW w:w="3119" w:type="dxa"/>
            <w:noWrap/>
            <w:vAlign w:val="center"/>
          </w:tcPr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信息检索与利用C</w:t>
            </w:r>
          </w:p>
          <w:p>
            <w:pP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color="auto" w:fill="auto"/>
              </w:rPr>
              <w:t>Information retrieval and utilization C</w:t>
            </w:r>
          </w:p>
        </w:tc>
        <w:tc>
          <w:tcPr>
            <w:tcW w:w="54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1</w:t>
            </w:r>
            <w:r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图书馆</w:t>
            </w:r>
          </w:p>
        </w:tc>
        <w:tc>
          <w:tcPr>
            <w:tcW w:w="644" w:type="dxa"/>
            <w:vAlign w:val="center"/>
          </w:tcPr>
          <w:p>
            <w:pPr>
              <w:pStyle w:val="4"/>
              <w:keepNext/>
              <w:ind w:left="-140" w:leftChars="-50" w:right="-140" w:rightChars="-5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创新型</w:t>
            </w:r>
          </w:p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专业型</w:t>
            </w:r>
          </w:p>
        </w:tc>
        <w:tc>
          <w:tcPr>
            <w:tcW w:w="74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ind w:left="-140" w:leftChars="-50" w:right="-140" w:rightChars="-50" w:firstLine="0"/>
              <w:rPr>
                <w:rFonts w:ascii="仿宋" w:hAnsi="仿宋" w:eastAsia="仿宋"/>
                <w:bCs/>
                <w:snapToGrid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6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/>
              <w:spacing w:line="240" w:lineRule="exact"/>
              <w:ind w:left="-140" w:leftChars="-50" w:right="-140" w:rightChars="-5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合计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学分</w:t>
            </w:r>
          </w:p>
        </w:tc>
        <w:tc>
          <w:tcPr>
            <w:tcW w:w="4488" w:type="dxa"/>
            <w:gridSpan w:val="8"/>
            <w:noWrap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学分</w:t>
            </w:r>
          </w:p>
        </w:tc>
      </w:tr>
    </w:tbl>
    <w:p>
      <w:pPr>
        <w:widowControl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（注</w:t>
      </w:r>
      <w:r>
        <w:rPr>
          <w:bCs/>
          <w:sz w:val="18"/>
          <w:szCs w:val="18"/>
        </w:rPr>
        <w:t>：提供的选修课程总学分应</w:t>
      </w:r>
      <w:r>
        <w:rPr>
          <w:rFonts w:hint="eastAsia"/>
          <w:bCs/>
          <w:sz w:val="18"/>
          <w:szCs w:val="18"/>
        </w:rPr>
        <w:t>不少</w:t>
      </w:r>
      <w:r>
        <w:rPr>
          <w:bCs/>
          <w:sz w:val="18"/>
          <w:szCs w:val="18"/>
        </w:rPr>
        <w:t>于应选修学分的1.5倍</w:t>
      </w:r>
      <w:r>
        <w:rPr>
          <w:rFonts w:hint="eastAsia"/>
          <w:bCs/>
          <w:sz w:val="18"/>
          <w:szCs w:val="18"/>
        </w:rPr>
        <w:t>）</w:t>
      </w: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</w:t>
      </w:r>
      <w:r>
        <w:rPr>
          <w:rFonts w:ascii="楷体" w:hAnsi="楷体" w:eastAsia="楷体"/>
          <w:sz w:val="32"/>
          <w:szCs w:val="32"/>
        </w:rPr>
        <w:t>）实践教学环节</w:t>
      </w:r>
    </w:p>
    <w:tbl>
      <w:tblPr>
        <w:tblStyle w:val="9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992"/>
        <w:gridCol w:w="3432"/>
        <w:gridCol w:w="674"/>
        <w:gridCol w:w="674"/>
        <w:gridCol w:w="674"/>
        <w:gridCol w:w="666"/>
        <w:gridCol w:w="8"/>
        <w:gridCol w:w="66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ind w:right="14" w:rightChars="5"/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实践</w:t>
            </w: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992" w:type="dxa"/>
            <w:vAlign w:val="center"/>
          </w:tcPr>
          <w:p>
            <w:pPr>
              <w:ind w:left="140" w:leftChars="50"/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实践代码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674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position w:val="-8"/>
                <w:sz w:val="18"/>
                <w:szCs w:val="18"/>
              </w:rPr>
              <w:t>实践</w:t>
            </w:r>
          </w:p>
          <w:p>
            <w:pPr>
              <w:jc w:val="center"/>
              <w:rPr>
                <w:rFonts w:ascii="黑体" w:hAnsi="黑体" w:eastAsia="黑体"/>
                <w:bCs/>
                <w:position w:val="-8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position w:val="-8"/>
                <w:sz w:val="18"/>
                <w:szCs w:val="18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基础实践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6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.5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BS110002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军事技能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Military Skills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学工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BS110002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劳动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Field Work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BS108002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体育健康与标准测试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Sports Health and Standard Tests 1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0.5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，6，7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体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育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BS106003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思政社会实践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Social Practice of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Ideologica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 xml:space="preserve">l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and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Political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马列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BS094023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大学生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社会实践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 xml:space="preserve">Social Practice and Survey 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  <w:lang w:val="en-US" w:eastAsia="zh-CN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BS020041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专业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认识实习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 xml:space="preserve">Field Practice on Horticultural Production 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BS020042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专业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认识实习</w:t>
            </w: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2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Field Practice on Horticultural Production 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0.5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BS094024</w:t>
            </w:r>
          </w:p>
        </w:tc>
        <w:tc>
          <w:tcPr>
            <w:tcW w:w="3432" w:type="dxa"/>
            <w:shd w:val="clear" w:color="auto" w:fill="auto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茶学综合教学实习 A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Comprehensive Teaching Practice on Tea Science A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BS094025</w:t>
            </w:r>
          </w:p>
        </w:tc>
        <w:tc>
          <w:tcPr>
            <w:tcW w:w="3432" w:type="dxa"/>
            <w:shd w:val="clear" w:color="auto" w:fill="auto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茶学综合教学实习 B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Comprehensive Teaching Practice on Tea Science B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BS094026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茶学课程论文与设计A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Course Work and Design of Tea Science A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BS094027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茶学课程论文与设计B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Course Work and Design of Tea Science B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BS094009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专业科研训练A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 xml:space="preserve"> Major Research Training A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BS094010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专业科研训练B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Major Research Training B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综合实践</w:t>
            </w:r>
          </w:p>
          <w:p>
            <w:pPr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BS094016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创新创业实践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Innovative and Entrepreneurial Practice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BS094017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毕业实习及报告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Graduation Practice and Report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ind w:left="-140" w:leftChars="-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BS094012</w:t>
            </w:r>
          </w:p>
        </w:tc>
        <w:tc>
          <w:tcPr>
            <w:tcW w:w="3432" w:type="dxa"/>
            <w:vAlign w:val="center"/>
          </w:tcPr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毕业论文(设计)</w:t>
            </w:r>
          </w:p>
          <w:p>
            <w:pPr>
              <w:spacing w:line="260" w:lineRule="exact"/>
              <w:ind w:left="140" w:leftChars="50" w:right="95" w:rightChars="34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B.A. Thesis Writing (Design)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园艺</w:t>
            </w:r>
          </w:p>
        </w:tc>
        <w:tc>
          <w:tcPr>
            <w:tcW w:w="674" w:type="dxa"/>
            <w:gridSpan w:val="2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10" w:hRule="atLeast"/>
          <w:jc w:val="center"/>
        </w:trPr>
        <w:tc>
          <w:tcPr>
            <w:tcW w:w="5412" w:type="dxa"/>
            <w:gridSpan w:val="3"/>
            <w:vAlign w:val="center"/>
          </w:tcPr>
          <w:p>
            <w:pPr>
              <w:ind w:left="140" w:leftChars="50"/>
              <w:jc w:val="center"/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合计学分</w:t>
            </w:r>
          </w:p>
        </w:tc>
        <w:tc>
          <w:tcPr>
            <w:tcW w:w="2688" w:type="dxa"/>
            <w:gridSpan w:val="4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/>
                <w:bCs/>
                <w:snapToGrid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bCs/>
                <w:snapToGrid w:val="0"/>
                <w:sz w:val="18"/>
                <w:szCs w:val="18"/>
              </w:rPr>
              <w:t>2.5</w:t>
            </w:r>
          </w:p>
        </w:tc>
        <w:tc>
          <w:tcPr>
            <w:tcW w:w="674" w:type="dxa"/>
            <w:gridSpan w:val="2"/>
          </w:tcPr>
          <w:p>
            <w:pPr>
              <w:widowControl/>
              <w:jc w:val="left"/>
            </w:pPr>
          </w:p>
        </w:tc>
      </w:tr>
    </w:tbl>
    <w:p>
      <w:pPr>
        <w:widowControl/>
        <w:jc w:val="left"/>
        <w:rPr>
          <w:sz w:val="18"/>
        </w:rPr>
      </w:pPr>
    </w:p>
    <w:p>
      <w:pPr>
        <w:widowControl/>
        <w:jc w:val="left"/>
        <w:rPr>
          <w:sz w:val="18"/>
        </w:rPr>
        <w:sectPr>
          <w:pgSz w:w="11906" w:h="16838"/>
          <w:pgMar w:top="1701" w:right="1531" w:bottom="1134" w:left="1531" w:header="851" w:footer="992" w:gutter="0"/>
          <w:cols w:space="425" w:num="1"/>
          <w:docGrid w:type="lines" w:linePitch="381" w:charSpace="0"/>
        </w:sectPr>
      </w:pPr>
    </w:p>
    <w:p>
      <w:pPr>
        <w:autoSpaceDE w:val="0"/>
        <w:autoSpaceDN w:val="0"/>
        <w:adjustRightInd w:val="0"/>
        <w:spacing w:after="190" w:afterLines="50"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实践</w:t>
      </w:r>
      <w:r>
        <w:rPr>
          <w:rFonts w:ascii="楷体" w:hAnsi="楷体" w:eastAsia="楷体"/>
          <w:sz w:val="32"/>
          <w:szCs w:val="32"/>
        </w:rPr>
        <w:t>教学活动时间分配表</w:t>
      </w:r>
    </w:p>
    <w:tbl>
      <w:tblPr>
        <w:tblStyle w:val="9"/>
        <w:tblW w:w="14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9" w:hRule="exact"/>
          <w:jc w:val="center"/>
        </w:trPr>
        <w:tc>
          <w:tcPr>
            <w:tcW w:w="170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周 次</w:t>
            </w:r>
          </w:p>
          <w:p>
            <w:pPr>
              <w:ind w:firstLine="181" w:firstLineChars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 年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第1学期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认知⊙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第2学期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认知⊙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第3学期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劳动▲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第4学期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第5学期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第6学期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※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第7学期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</w:rPr>
              <w:t>综合⊙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第8学期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◆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‖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</w:tr>
    </w:tbl>
    <w:p>
      <w:pPr>
        <w:spacing w:before="60" w:line="240" w:lineRule="exact"/>
        <w:ind w:left="1350" w:hanging="1350" w:hangingChars="75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说明：1、符号：□上课  </w:t>
      </w:r>
      <w:r>
        <w:rPr>
          <w:rFonts w:hint="eastAsia" w:ascii="宋体" w:hAnsi="宋体" w:cs="宋体"/>
          <w:sz w:val="18"/>
          <w:szCs w:val="18"/>
        </w:rPr>
        <w:t>☆</w:t>
      </w:r>
      <w:r>
        <w:rPr>
          <w:rFonts w:eastAsia="黑体"/>
          <w:sz w:val="18"/>
          <w:szCs w:val="18"/>
        </w:rPr>
        <w:t>军事</w:t>
      </w:r>
      <w:r>
        <w:rPr>
          <w:rFonts w:hint="eastAsia" w:eastAsia="黑体"/>
          <w:sz w:val="18"/>
          <w:szCs w:val="18"/>
        </w:rPr>
        <w:t>技能</w:t>
      </w:r>
      <w:r>
        <w:rPr>
          <w:rFonts w:eastAsia="黑体"/>
          <w:sz w:val="18"/>
          <w:szCs w:val="18"/>
        </w:rPr>
        <w:t xml:space="preserve">  </w:t>
      </w:r>
      <w:r>
        <w:rPr>
          <w:rFonts w:ascii="Cambria Math" w:hAnsi="Cambria Math" w:eastAsia="黑体" w:cs="Cambria Math"/>
          <w:sz w:val="18"/>
          <w:szCs w:val="18"/>
        </w:rPr>
        <w:t>△</w:t>
      </w:r>
      <w:r>
        <w:rPr>
          <w:rFonts w:eastAsia="黑体"/>
          <w:sz w:val="18"/>
          <w:szCs w:val="18"/>
        </w:rPr>
        <w:t xml:space="preserve">专业劳动  ×生产劳动  </w:t>
      </w:r>
      <w:r>
        <w:rPr>
          <w:rFonts w:ascii="Arial" w:hAnsi="Arial" w:eastAsia="黑体" w:cs="Arial"/>
          <w:sz w:val="18"/>
          <w:szCs w:val="18"/>
        </w:rPr>
        <w:t>▲</w:t>
      </w:r>
      <w:r>
        <w:rPr>
          <w:rFonts w:hint="eastAsia" w:eastAsia="黑体"/>
          <w:sz w:val="18"/>
          <w:szCs w:val="18"/>
        </w:rPr>
        <w:t>劳动实践</w:t>
      </w:r>
      <w:r>
        <w:rPr>
          <w:rFonts w:eastAsia="黑体"/>
          <w:sz w:val="18"/>
          <w:szCs w:val="18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⊙</w:t>
      </w:r>
      <w:r>
        <w:rPr>
          <w:rFonts w:eastAsia="黑体"/>
          <w:sz w:val="18"/>
          <w:szCs w:val="18"/>
        </w:rPr>
        <w:t xml:space="preserve">教学实习  </w:t>
      </w:r>
      <w:r>
        <w:rPr>
          <w:rFonts w:hint="eastAsia" w:ascii="宋体" w:hAnsi="宋体" w:cs="宋体"/>
          <w:sz w:val="18"/>
          <w:szCs w:val="18"/>
        </w:rPr>
        <w:t>※</w:t>
      </w:r>
      <w:r>
        <w:rPr>
          <w:rFonts w:eastAsia="黑体"/>
          <w:sz w:val="18"/>
          <w:szCs w:val="18"/>
        </w:rPr>
        <w:t xml:space="preserve">课程设计  ：考试  ∞毕业（生产）实习   </w:t>
      </w:r>
      <w:r>
        <w:rPr>
          <w:rFonts w:hint="eastAsia" w:ascii="宋体" w:hAnsi="宋体" w:cs="宋体"/>
          <w:sz w:val="18"/>
          <w:szCs w:val="18"/>
        </w:rPr>
        <w:t>◆</w:t>
      </w:r>
      <w:r>
        <w:rPr>
          <w:rFonts w:eastAsia="黑体"/>
          <w:sz w:val="18"/>
          <w:szCs w:val="18"/>
        </w:rPr>
        <w:t>毕业设计  ‖毕业(生产)实习总结、论文答辩  #假期    /为分割符，如“</w:t>
      </w:r>
      <w:r>
        <w:rPr>
          <w:rFonts w:hint="eastAsia" w:ascii="宋体" w:hAnsi="宋体" w:cs="宋体"/>
          <w:sz w:val="18"/>
          <w:szCs w:val="18"/>
        </w:rPr>
        <w:t>⊙</w:t>
      </w:r>
      <w:r>
        <w:rPr>
          <w:rFonts w:eastAsia="黑体" w:cs="Calibri"/>
          <w:sz w:val="18"/>
          <w:szCs w:val="18"/>
        </w:rPr>
        <w:t>/”</w:t>
      </w:r>
      <w:r>
        <w:rPr>
          <w:rFonts w:eastAsia="黑体"/>
          <w:sz w:val="18"/>
          <w:szCs w:val="18"/>
        </w:rPr>
        <w:t>指前半周教学实习；“/</w:t>
      </w:r>
      <w:r>
        <w:rPr>
          <w:rFonts w:hint="eastAsia" w:ascii="宋体" w:hAnsi="宋体" w:cs="宋体"/>
          <w:sz w:val="18"/>
          <w:szCs w:val="18"/>
        </w:rPr>
        <w:t>⊙</w:t>
      </w:r>
      <w:r>
        <w:rPr>
          <w:rFonts w:eastAsia="黑体" w:cs="Calibri"/>
          <w:sz w:val="18"/>
          <w:szCs w:val="18"/>
        </w:rPr>
        <w:t>”</w:t>
      </w:r>
      <w:r>
        <w:rPr>
          <w:rFonts w:eastAsia="黑体"/>
          <w:sz w:val="18"/>
          <w:szCs w:val="18"/>
        </w:rPr>
        <w:t>指后半周教学实习。</w:t>
      </w:r>
    </w:p>
    <w:p>
      <w:pPr>
        <w:ind w:firstLine="567" w:firstLineChars="315"/>
        <w:rPr>
          <w:rFonts w:eastAsia="黑体"/>
          <w:kern w:val="28"/>
          <w:sz w:val="18"/>
          <w:szCs w:val="18"/>
        </w:rPr>
      </w:pPr>
      <w:r>
        <w:rPr>
          <w:rFonts w:eastAsia="黑体"/>
          <w:sz w:val="18"/>
          <w:szCs w:val="18"/>
        </w:rPr>
        <w:t>2、多学期开设的环节需要加下划线“</w:t>
      </w:r>
      <w:r>
        <w:rPr>
          <w:rFonts w:eastAsia="黑体"/>
          <w:sz w:val="18"/>
          <w:szCs w:val="18"/>
          <w:u w:val="single"/>
        </w:rPr>
        <w:t xml:space="preserve">    </w:t>
      </w:r>
      <w:r>
        <w:rPr>
          <w:rFonts w:eastAsia="黑体"/>
          <w:sz w:val="18"/>
          <w:szCs w:val="18"/>
        </w:rPr>
        <w:t>”标明。 如：“</w:t>
      </w:r>
      <w:r>
        <w:rPr>
          <w:rFonts w:hint="eastAsia" w:ascii="宋体" w:hAnsi="宋体" w:cs="宋体"/>
          <w:sz w:val="18"/>
          <w:szCs w:val="18"/>
          <w:u w:val="single"/>
        </w:rPr>
        <w:t>⊙</w:t>
      </w:r>
      <w:r>
        <w:rPr>
          <w:rFonts w:eastAsia="黑体"/>
          <w:sz w:val="18"/>
          <w:szCs w:val="18"/>
        </w:rPr>
        <w:t>”为多学期开设的教学实习，本学期1周；“</w:t>
      </w:r>
      <w:r>
        <w:rPr>
          <w:rFonts w:hint="eastAsia" w:ascii="宋体" w:hAnsi="宋体" w:cs="宋体"/>
          <w:sz w:val="18"/>
          <w:szCs w:val="18"/>
          <w:u w:val="single"/>
        </w:rPr>
        <w:t>⊙</w:t>
      </w:r>
      <w:r>
        <w:rPr>
          <w:rFonts w:eastAsia="黑体" w:cs="Calibri"/>
          <w:sz w:val="18"/>
          <w:szCs w:val="18"/>
          <w:u w:val="single"/>
        </w:rPr>
        <w:t>/2</w:t>
      </w:r>
      <w:r>
        <w:rPr>
          <w:rFonts w:eastAsia="黑体"/>
          <w:sz w:val="18"/>
          <w:szCs w:val="18"/>
        </w:rPr>
        <w:t>”为0.5周，安排在前半周；“/</w:t>
      </w:r>
      <w:r>
        <w:rPr>
          <w:rFonts w:hint="eastAsia" w:ascii="宋体" w:hAnsi="宋体" w:cs="宋体"/>
          <w:sz w:val="18"/>
          <w:szCs w:val="18"/>
          <w:u w:val="single"/>
        </w:rPr>
        <w:t>⊙</w:t>
      </w:r>
      <w:r>
        <w:rPr>
          <w:rFonts w:eastAsia="黑体" w:cs="Calibri"/>
          <w:sz w:val="18"/>
          <w:szCs w:val="18"/>
          <w:u w:val="single"/>
        </w:rPr>
        <w:t>/4</w:t>
      </w:r>
      <w:r>
        <w:rPr>
          <w:rFonts w:eastAsia="黑体"/>
          <w:sz w:val="18"/>
          <w:szCs w:val="18"/>
        </w:rPr>
        <w:t>”为0.25周，安排在后半周。</w:t>
      </w:r>
    </w:p>
    <w:p>
      <w:pPr>
        <w:rPr>
          <w:sz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715A5"/>
    <w:multiLevelType w:val="multilevel"/>
    <w:tmpl w:val="508715A5"/>
    <w:lvl w:ilvl="0" w:tentative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DE5NzI5MDM1Mjc0NGMwYTI4NzY0NmJlNTYxMTEifQ=="/>
  </w:docVars>
  <w:rsids>
    <w:rsidRoot w:val="00405D91"/>
    <w:rsid w:val="00002C7F"/>
    <w:rsid w:val="00005A48"/>
    <w:rsid w:val="00010D85"/>
    <w:rsid w:val="000116AE"/>
    <w:rsid w:val="00020DD9"/>
    <w:rsid w:val="00021B9A"/>
    <w:rsid w:val="00025696"/>
    <w:rsid w:val="000274C1"/>
    <w:rsid w:val="00031B10"/>
    <w:rsid w:val="00034B81"/>
    <w:rsid w:val="00036978"/>
    <w:rsid w:val="000370AE"/>
    <w:rsid w:val="00043495"/>
    <w:rsid w:val="00050E62"/>
    <w:rsid w:val="00051399"/>
    <w:rsid w:val="00052D6A"/>
    <w:rsid w:val="00057CF2"/>
    <w:rsid w:val="00062F6A"/>
    <w:rsid w:val="0006373D"/>
    <w:rsid w:val="000643A7"/>
    <w:rsid w:val="00073A92"/>
    <w:rsid w:val="00075823"/>
    <w:rsid w:val="00076D08"/>
    <w:rsid w:val="0008043C"/>
    <w:rsid w:val="00082FA0"/>
    <w:rsid w:val="00086E0F"/>
    <w:rsid w:val="00090251"/>
    <w:rsid w:val="00095DA0"/>
    <w:rsid w:val="000A3172"/>
    <w:rsid w:val="000B14A1"/>
    <w:rsid w:val="000B24B5"/>
    <w:rsid w:val="000C2178"/>
    <w:rsid w:val="000C5BE1"/>
    <w:rsid w:val="000D17BB"/>
    <w:rsid w:val="000D2B49"/>
    <w:rsid w:val="000D725E"/>
    <w:rsid w:val="000E4B93"/>
    <w:rsid w:val="000E60F4"/>
    <w:rsid w:val="000E6AF2"/>
    <w:rsid w:val="000F1C34"/>
    <w:rsid w:val="000F3C4A"/>
    <w:rsid w:val="001006E4"/>
    <w:rsid w:val="00102025"/>
    <w:rsid w:val="00102818"/>
    <w:rsid w:val="0010575E"/>
    <w:rsid w:val="00110C47"/>
    <w:rsid w:val="00111DA3"/>
    <w:rsid w:val="00115677"/>
    <w:rsid w:val="00121892"/>
    <w:rsid w:val="00126B16"/>
    <w:rsid w:val="00142701"/>
    <w:rsid w:val="00156000"/>
    <w:rsid w:val="00156AB9"/>
    <w:rsid w:val="00162A5B"/>
    <w:rsid w:val="00167A9D"/>
    <w:rsid w:val="001721D4"/>
    <w:rsid w:val="0017499C"/>
    <w:rsid w:val="00177082"/>
    <w:rsid w:val="00185EFB"/>
    <w:rsid w:val="00194F13"/>
    <w:rsid w:val="001A17F0"/>
    <w:rsid w:val="001A4022"/>
    <w:rsid w:val="001B17F1"/>
    <w:rsid w:val="001B3812"/>
    <w:rsid w:val="001C24C3"/>
    <w:rsid w:val="001C2C9A"/>
    <w:rsid w:val="001C5079"/>
    <w:rsid w:val="001D4173"/>
    <w:rsid w:val="001D4DF7"/>
    <w:rsid w:val="001D6BFE"/>
    <w:rsid w:val="001E3311"/>
    <w:rsid w:val="001E379F"/>
    <w:rsid w:val="001F1C3E"/>
    <w:rsid w:val="001F264B"/>
    <w:rsid w:val="001F56E9"/>
    <w:rsid w:val="00203D54"/>
    <w:rsid w:val="00204BCD"/>
    <w:rsid w:val="00206B20"/>
    <w:rsid w:val="00210A8E"/>
    <w:rsid w:val="00210F46"/>
    <w:rsid w:val="00214159"/>
    <w:rsid w:val="00215D88"/>
    <w:rsid w:val="0022098C"/>
    <w:rsid w:val="00225759"/>
    <w:rsid w:val="00225CED"/>
    <w:rsid w:val="00226FA7"/>
    <w:rsid w:val="0023013B"/>
    <w:rsid w:val="0023023D"/>
    <w:rsid w:val="00231BB3"/>
    <w:rsid w:val="00234E45"/>
    <w:rsid w:val="00235BEB"/>
    <w:rsid w:val="00241B87"/>
    <w:rsid w:val="002442D2"/>
    <w:rsid w:val="0025263D"/>
    <w:rsid w:val="002575F5"/>
    <w:rsid w:val="00260AE7"/>
    <w:rsid w:val="00262F61"/>
    <w:rsid w:val="00264A3C"/>
    <w:rsid w:val="002730C1"/>
    <w:rsid w:val="0027461C"/>
    <w:rsid w:val="002818CE"/>
    <w:rsid w:val="00281A8C"/>
    <w:rsid w:val="00283B48"/>
    <w:rsid w:val="0028553E"/>
    <w:rsid w:val="002874CC"/>
    <w:rsid w:val="00296479"/>
    <w:rsid w:val="002A276D"/>
    <w:rsid w:val="002B0A35"/>
    <w:rsid w:val="002B1597"/>
    <w:rsid w:val="002B213F"/>
    <w:rsid w:val="002B561A"/>
    <w:rsid w:val="002C0C31"/>
    <w:rsid w:val="002C0CA0"/>
    <w:rsid w:val="002C1976"/>
    <w:rsid w:val="002C2423"/>
    <w:rsid w:val="002C267B"/>
    <w:rsid w:val="002E2201"/>
    <w:rsid w:val="002E296F"/>
    <w:rsid w:val="002E7294"/>
    <w:rsid w:val="002F288B"/>
    <w:rsid w:val="002F5C64"/>
    <w:rsid w:val="00300D78"/>
    <w:rsid w:val="003027DB"/>
    <w:rsid w:val="00304201"/>
    <w:rsid w:val="00306C5E"/>
    <w:rsid w:val="00307893"/>
    <w:rsid w:val="00311376"/>
    <w:rsid w:val="003172F0"/>
    <w:rsid w:val="00320DE5"/>
    <w:rsid w:val="003227E2"/>
    <w:rsid w:val="00323DB3"/>
    <w:rsid w:val="003265F5"/>
    <w:rsid w:val="0033143B"/>
    <w:rsid w:val="00333811"/>
    <w:rsid w:val="00350D97"/>
    <w:rsid w:val="0036157C"/>
    <w:rsid w:val="00372F68"/>
    <w:rsid w:val="00374A93"/>
    <w:rsid w:val="00377852"/>
    <w:rsid w:val="0038594E"/>
    <w:rsid w:val="00393FA1"/>
    <w:rsid w:val="0039477D"/>
    <w:rsid w:val="0039481D"/>
    <w:rsid w:val="003A4C36"/>
    <w:rsid w:val="003A5B3F"/>
    <w:rsid w:val="003B243B"/>
    <w:rsid w:val="003B518E"/>
    <w:rsid w:val="003B5933"/>
    <w:rsid w:val="003B5C56"/>
    <w:rsid w:val="003B721A"/>
    <w:rsid w:val="003C3D62"/>
    <w:rsid w:val="003D385E"/>
    <w:rsid w:val="003E28B1"/>
    <w:rsid w:val="003E2E73"/>
    <w:rsid w:val="003E6199"/>
    <w:rsid w:val="003F14AA"/>
    <w:rsid w:val="003F1E5A"/>
    <w:rsid w:val="00401B31"/>
    <w:rsid w:val="00405D91"/>
    <w:rsid w:val="0040646F"/>
    <w:rsid w:val="00406AF9"/>
    <w:rsid w:val="0040793D"/>
    <w:rsid w:val="00410E66"/>
    <w:rsid w:val="00422DEB"/>
    <w:rsid w:val="00426E1F"/>
    <w:rsid w:val="00434D49"/>
    <w:rsid w:val="00435C9E"/>
    <w:rsid w:val="00437648"/>
    <w:rsid w:val="00441710"/>
    <w:rsid w:val="00444246"/>
    <w:rsid w:val="00444A07"/>
    <w:rsid w:val="00445EBA"/>
    <w:rsid w:val="00450898"/>
    <w:rsid w:val="00456727"/>
    <w:rsid w:val="004571D2"/>
    <w:rsid w:val="004643AD"/>
    <w:rsid w:val="00465EA1"/>
    <w:rsid w:val="00467BE9"/>
    <w:rsid w:val="004760A3"/>
    <w:rsid w:val="0048286F"/>
    <w:rsid w:val="004857FC"/>
    <w:rsid w:val="00487132"/>
    <w:rsid w:val="004A4E3A"/>
    <w:rsid w:val="004A5E56"/>
    <w:rsid w:val="004A7858"/>
    <w:rsid w:val="004A7A99"/>
    <w:rsid w:val="004B6C67"/>
    <w:rsid w:val="004B6C8C"/>
    <w:rsid w:val="004B7683"/>
    <w:rsid w:val="004B7740"/>
    <w:rsid w:val="004B7ACF"/>
    <w:rsid w:val="004D2C4A"/>
    <w:rsid w:val="004E0FB6"/>
    <w:rsid w:val="004E2DB3"/>
    <w:rsid w:val="004E7001"/>
    <w:rsid w:val="004E7ECA"/>
    <w:rsid w:val="004F07C8"/>
    <w:rsid w:val="004F2F19"/>
    <w:rsid w:val="005012A9"/>
    <w:rsid w:val="0050160B"/>
    <w:rsid w:val="00514E37"/>
    <w:rsid w:val="0051539D"/>
    <w:rsid w:val="00530B4A"/>
    <w:rsid w:val="005406AF"/>
    <w:rsid w:val="00542276"/>
    <w:rsid w:val="00557B5B"/>
    <w:rsid w:val="00582BA6"/>
    <w:rsid w:val="00584E4D"/>
    <w:rsid w:val="005879C2"/>
    <w:rsid w:val="00596892"/>
    <w:rsid w:val="00597766"/>
    <w:rsid w:val="005A59C3"/>
    <w:rsid w:val="005B079F"/>
    <w:rsid w:val="005B4C06"/>
    <w:rsid w:val="005B6F01"/>
    <w:rsid w:val="005C1DE4"/>
    <w:rsid w:val="005C3164"/>
    <w:rsid w:val="005C3D0C"/>
    <w:rsid w:val="005C4154"/>
    <w:rsid w:val="005C43C0"/>
    <w:rsid w:val="005C670B"/>
    <w:rsid w:val="005D0DEB"/>
    <w:rsid w:val="005D17D5"/>
    <w:rsid w:val="005D1F08"/>
    <w:rsid w:val="005D316B"/>
    <w:rsid w:val="005D7BA8"/>
    <w:rsid w:val="005E1D2C"/>
    <w:rsid w:val="005E48B6"/>
    <w:rsid w:val="005E6631"/>
    <w:rsid w:val="006063BC"/>
    <w:rsid w:val="00606564"/>
    <w:rsid w:val="00611239"/>
    <w:rsid w:val="00620737"/>
    <w:rsid w:val="0062313F"/>
    <w:rsid w:val="00627052"/>
    <w:rsid w:val="00633A09"/>
    <w:rsid w:val="00646643"/>
    <w:rsid w:val="006511A8"/>
    <w:rsid w:val="00655D36"/>
    <w:rsid w:val="006560DC"/>
    <w:rsid w:val="006621E5"/>
    <w:rsid w:val="0066293F"/>
    <w:rsid w:val="0066735E"/>
    <w:rsid w:val="0066795D"/>
    <w:rsid w:val="006711C4"/>
    <w:rsid w:val="00671745"/>
    <w:rsid w:val="0067364C"/>
    <w:rsid w:val="00684E79"/>
    <w:rsid w:val="00686268"/>
    <w:rsid w:val="00690AC7"/>
    <w:rsid w:val="006914C2"/>
    <w:rsid w:val="00691A7B"/>
    <w:rsid w:val="00693B93"/>
    <w:rsid w:val="00694D2E"/>
    <w:rsid w:val="006B3C13"/>
    <w:rsid w:val="006B62D4"/>
    <w:rsid w:val="006B71B6"/>
    <w:rsid w:val="006D0B5C"/>
    <w:rsid w:val="006D762A"/>
    <w:rsid w:val="006E013C"/>
    <w:rsid w:val="006E1F2C"/>
    <w:rsid w:val="006E6115"/>
    <w:rsid w:val="006E7656"/>
    <w:rsid w:val="006F27B8"/>
    <w:rsid w:val="006F30EC"/>
    <w:rsid w:val="006F737C"/>
    <w:rsid w:val="006F7F7D"/>
    <w:rsid w:val="00705B75"/>
    <w:rsid w:val="00706113"/>
    <w:rsid w:val="00706F1E"/>
    <w:rsid w:val="00711AFE"/>
    <w:rsid w:val="00714648"/>
    <w:rsid w:val="007227A5"/>
    <w:rsid w:val="007246C1"/>
    <w:rsid w:val="00726828"/>
    <w:rsid w:val="00744105"/>
    <w:rsid w:val="00747737"/>
    <w:rsid w:val="007576E2"/>
    <w:rsid w:val="0076112B"/>
    <w:rsid w:val="00773B8B"/>
    <w:rsid w:val="007806C7"/>
    <w:rsid w:val="00780D23"/>
    <w:rsid w:val="0078338F"/>
    <w:rsid w:val="007858B1"/>
    <w:rsid w:val="00786008"/>
    <w:rsid w:val="0079296B"/>
    <w:rsid w:val="00794BD2"/>
    <w:rsid w:val="007A0B7A"/>
    <w:rsid w:val="007A25C2"/>
    <w:rsid w:val="007B1C8C"/>
    <w:rsid w:val="007B4372"/>
    <w:rsid w:val="007B7D20"/>
    <w:rsid w:val="007C1855"/>
    <w:rsid w:val="007C2D98"/>
    <w:rsid w:val="007C56C3"/>
    <w:rsid w:val="007D4EB4"/>
    <w:rsid w:val="007E67AE"/>
    <w:rsid w:val="007F07C1"/>
    <w:rsid w:val="007F4B07"/>
    <w:rsid w:val="007F5D88"/>
    <w:rsid w:val="007F7705"/>
    <w:rsid w:val="008058EF"/>
    <w:rsid w:val="008114F9"/>
    <w:rsid w:val="0081199F"/>
    <w:rsid w:val="00815B72"/>
    <w:rsid w:val="00817E03"/>
    <w:rsid w:val="00822F0F"/>
    <w:rsid w:val="00823F9A"/>
    <w:rsid w:val="0082455E"/>
    <w:rsid w:val="008245D4"/>
    <w:rsid w:val="008245DE"/>
    <w:rsid w:val="00824ABA"/>
    <w:rsid w:val="0082543B"/>
    <w:rsid w:val="00830D6E"/>
    <w:rsid w:val="00830DD2"/>
    <w:rsid w:val="00834286"/>
    <w:rsid w:val="00835A18"/>
    <w:rsid w:val="00837C69"/>
    <w:rsid w:val="008421D1"/>
    <w:rsid w:val="008441D9"/>
    <w:rsid w:val="00846531"/>
    <w:rsid w:val="00853589"/>
    <w:rsid w:val="008620EC"/>
    <w:rsid w:val="00863DC9"/>
    <w:rsid w:val="008660F3"/>
    <w:rsid w:val="0086769A"/>
    <w:rsid w:val="00873300"/>
    <w:rsid w:val="0087586C"/>
    <w:rsid w:val="00875935"/>
    <w:rsid w:val="00880FEC"/>
    <w:rsid w:val="0088407A"/>
    <w:rsid w:val="0089062C"/>
    <w:rsid w:val="0089778A"/>
    <w:rsid w:val="008A1B9F"/>
    <w:rsid w:val="008A7979"/>
    <w:rsid w:val="008B6D5B"/>
    <w:rsid w:val="008C262A"/>
    <w:rsid w:val="008C33EE"/>
    <w:rsid w:val="008E00A6"/>
    <w:rsid w:val="008E09C9"/>
    <w:rsid w:val="008E2E96"/>
    <w:rsid w:val="008E38D0"/>
    <w:rsid w:val="008E4199"/>
    <w:rsid w:val="008E5085"/>
    <w:rsid w:val="008E5DC1"/>
    <w:rsid w:val="008F1468"/>
    <w:rsid w:val="008F6E42"/>
    <w:rsid w:val="008F78B6"/>
    <w:rsid w:val="009004A9"/>
    <w:rsid w:val="00901EA7"/>
    <w:rsid w:val="0091194D"/>
    <w:rsid w:val="009133E2"/>
    <w:rsid w:val="009140B0"/>
    <w:rsid w:val="009140BB"/>
    <w:rsid w:val="00915607"/>
    <w:rsid w:val="009172DF"/>
    <w:rsid w:val="0092313A"/>
    <w:rsid w:val="009231DA"/>
    <w:rsid w:val="00924E99"/>
    <w:rsid w:val="0092527E"/>
    <w:rsid w:val="009375C7"/>
    <w:rsid w:val="00941C36"/>
    <w:rsid w:val="0094224C"/>
    <w:rsid w:val="009562AF"/>
    <w:rsid w:val="009644AE"/>
    <w:rsid w:val="0096619C"/>
    <w:rsid w:val="00966E92"/>
    <w:rsid w:val="00973816"/>
    <w:rsid w:val="009739AA"/>
    <w:rsid w:val="009742D0"/>
    <w:rsid w:val="00975B0A"/>
    <w:rsid w:val="00987576"/>
    <w:rsid w:val="00987B8E"/>
    <w:rsid w:val="00990F08"/>
    <w:rsid w:val="009A0A2E"/>
    <w:rsid w:val="009A1FCF"/>
    <w:rsid w:val="009A2D7D"/>
    <w:rsid w:val="009A635C"/>
    <w:rsid w:val="009B1665"/>
    <w:rsid w:val="009B3877"/>
    <w:rsid w:val="009B4887"/>
    <w:rsid w:val="009B5D9D"/>
    <w:rsid w:val="009B7556"/>
    <w:rsid w:val="009B7643"/>
    <w:rsid w:val="009C5DD1"/>
    <w:rsid w:val="009C6323"/>
    <w:rsid w:val="009D7AAF"/>
    <w:rsid w:val="009E11EC"/>
    <w:rsid w:val="009E199D"/>
    <w:rsid w:val="009F2CB0"/>
    <w:rsid w:val="009F3B9B"/>
    <w:rsid w:val="00A02B91"/>
    <w:rsid w:val="00A11739"/>
    <w:rsid w:val="00A13313"/>
    <w:rsid w:val="00A13435"/>
    <w:rsid w:val="00A13EAD"/>
    <w:rsid w:val="00A15BA4"/>
    <w:rsid w:val="00A16217"/>
    <w:rsid w:val="00A2426A"/>
    <w:rsid w:val="00A244F3"/>
    <w:rsid w:val="00A27111"/>
    <w:rsid w:val="00A30CDF"/>
    <w:rsid w:val="00A36609"/>
    <w:rsid w:val="00A366A5"/>
    <w:rsid w:val="00A4367C"/>
    <w:rsid w:val="00A46900"/>
    <w:rsid w:val="00A515D7"/>
    <w:rsid w:val="00A5532A"/>
    <w:rsid w:val="00A6566E"/>
    <w:rsid w:val="00A736CD"/>
    <w:rsid w:val="00A77E16"/>
    <w:rsid w:val="00A92F26"/>
    <w:rsid w:val="00AA4AEE"/>
    <w:rsid w:val="00AA5E72"/>
    <w:rsid w:val="00AB022D"/>
    <w:rsid w:val="00AB3492"/>
    <w:rsid w:val="00AC46D3"/>
    <w:rsid w:val="00AD3124"/>
    <w:rsid w:val="00AD4CA1"/>
    <w:rsid w:val="00AE2123"/>
    <w:rsid w:val="00AE212F"/>
    <w:rsid w:val="00AE5FAA"/>
    <w:rsid w:val="00AE6A68"/>
    <w:rsid w:val="00AF5AD0"/>
    <w:rsid w:val="00B03E57"/>
    <w:rsid w:val="00B0517B"/>
    <w:rsid w:val="00B1038F"/>
    <w:rsid w:val="00B14CB2"/>
    <w:rsid w:val="00B205D9"/>
    <w:rsid w:val="00B20E5B"/>
    <w:rsid w:val="00B21932"/>
    <w:rsid w:val="00B25209"/>
    <w:rsid w:val="00B26AE9"/>
    <w:rsid w:val="00B27433"/>
    <w:rsid w:val="00B411F6"/>
    <w:rsid w:val="00B46698"/>
    <w:rsid w:val="00B46754"/>
    <w:rsid w:val="00B4770A"/>
    <w:rsid w:val="00B528AD"/>
    <w:rsid w:val="00B55954"/>
    <w:rsid w:val="00B560BA"/>
    <w:rsid w:val="00B56906"/>
    <w:rsid w:val="00B6069E"/>
    <w:rsid w:val="00B60E23"/>
    <w:rsid w:val="00B615DF"/>
    <w:rsid w:val="00B70A10"/>
    <w:rsid w:val="00B7136D"/>
    <w:rsid w:val="00B75A25"/>
    <w:rsid w:val="00B7750E"/>
    <w:rsid w:val="00B8339B"/>
    <w:rsid w:val="00B847D8"/>
    <w:rsid w:val="00B84B0E"/>
    <w:rsid w:val="00B85389"/>
    <w:rsid w:val="00B92A07"/>
    <w:rsid w:val="00B9419B"/>
    <w:rsid w:val="00B96510"/>
    <w:rsid w:val="00BA0B0D"/>
    <w:rsid w:val="00BA415D"/>
    <w:rsid w:val="00BA569B"/>
    <w:rsid w:val="00BB07AA"/>
    <w:rsid w:val="00BB12D3"/>
    <w:rsid w:val="00BB5146"/>
    <w:rsid w:val="00BB57ED"/>
    <w:rsid w:val="00BC0288"/>
    <w:rsid w:val="00BC1422"/>
    <w:rsid w:val="00BC260A"/>
    <w:rsid w:val="00BC773D"/>
    <w:rsid w:val="00BD30A6"/>
    <w:rsid w:val="00BE35BC"/>
    <w:rsid w:val="00BE3788"/>
    <w:rsid w:val="00BE726A"/>
    <w:rsid w:val="00BE7372"/>
    <w:rsid w:val="00BF1823"/>
    <w:rsid w:val="00BF4EC5"/>
    <w:rsid w:val="00BF53E9"/>
    <w:rsid w:val="00BF75B4"/>
    <w:rsid w:val="00C03EEC"/>
    <w:rsid w:val="00C0527A"/>
    <w:rsid w:val="00C076EB"/>
    <w:rsid w:val="00C13696"/>
    <w:rsid w:val="00C141CB"/>
    <w:rsid w:val="00C21EEC"/>
    <w:rsid w:val="00C3426F"/>
    <w:rsid w:val="00C34A0B"/>
    <w:rsid w:val="00C36BFC"/>
    <w:rsid w:val="00C37BDD"/>
    <w:rsid w:val="00C43C87"/>
    <w:rsid w:val="00C45F6C"/>
    <w:rsid w:val="00C466B1"/>
    <w:rsid w:val="00C553A7"/>
    <w:rsid w:val="00C570D7"/>
    <w:rsid w:val="00C573EA"/>
    <w:rsid w:val="00C618EE"/>
    <w:rsid w:val="00C65BBD"/>
    <w:rsid w:val="00C7139F"/>
    <w:rsid w:val="00C7375C"/>
    <w:rsid w:val="00C83034"/>
    <w:rsid w:val="00C83F36"/>
    <w:rsid w:val="00C85DB4"/>
    <w:rsid w:val="00C978FB"/>
    <w:rsid w:val="00CA5217"/>
    <w:rsid w:val="00CC1567"/>
    <w:rsid w:val="00CC2204"/>
    <w:rsid w:val="00CC3BAB"/>
    <w:rsid w:val="00CC40A6"/>
    <w:rsid w:val="00CE4011"/>
    <w:rsid w:val="00CE57CC"/>
    <w:rsid w:val="00CE67B8"/>
    <w:rsid w:val="00CE6C1E"/>
    <w:rsid w:val="00CE758B"/>
    <w:rsid w:val="00CF3773"/>
    <w:rsid w:val="00CF5BD2"/>
    <w:rsid w:val="00CF7298"/>
    <w:rsid w:val="00D14AED"/>
    <w:rsid w:val="00D25EF5"/>
    <w:rsid w:val="00D26DED"/>
    <w:rsid w:val="00D3415B"/>
    <w:rsid w:val="00D46729"/>
    <w:rsid w:val="00D61599"/>
    <w:rsid w:val="00D66B4E"/>
    <w:rsid w:val="00D679B9"/>
    <w:rsid w:val="00D7070D"/>
    <w:rsid w:val="00D722F3"/>
    <w:rsid w:val="00D74FED"/>
    <w:rsid w:val="00D7717C"/>
    <w:rsid w:val="00D87D11"/>
    <w:rsid w:val="00D90110"/>
    <w:rsid w:val="00D94257"/>
    <w:rsid w:val="00D946D3"/>
    <w:rsid w:val="00D965A2"/>
    <w:rsid w:val="00DA102D"/>
    <w:rsid w:val="00DA1C5A"/>
    <w:rsid w:val="00DA6D06"/>
    <w:rsid w:val="00DA7E8F"/>
    <w:rsid w:val="00DB1A43"/>
    <w:rsid w:val="00DB3E76"/>
    <w:rsid w:val="00DB6646"/>
    <w:rsid w:val="00DB7987"/>
    <w:rsid w:val="00DB7EF4"/>
    <w:rsid w:val="00DC102B"/>
    <w:rsid w:val="00DC1D4D"/>
    <w:rsid w:val="00DC2986"/>
    <w:rsid w:val="00DC418F"/>
    <w:rsid w:val="00DD481D"/>
    <w:rsid w:val="00DE4770"/>
    <w:rsid w:val="00DE5DC4"/>
    <w:rsid w:val="00DF30ED"/>
    <w:rsid w:val="00DF6DF7"/>
    <w:rsid w:val="00E025D9"/>
    <w:rsid w:val="00E04763"/>
    <w:rsid w:val="00E06AE3"/>
    <w:rsid w:val="00E10FE7"/>
    <w:rsid w:val="00E14229"/>
    <w:rsid w:val="00E16678"/>
    <w:rsid w:val="00E236ED"/>
    <w:rsid w:val="00E302E4"/>
    <w:rsid w:val="00E30D1A"/>
    <w:rsid w:val="00E347E6"/>
    <w:rsid w:val="00E54F7D"/>
    <w:rsid w:val="00E56C9A"/>
    <w:rsid w:val="00E60A61"/>
    <w:rsid w:val="00E70E38"/>
    <w:rsid w:val="00E7145A"/>
    <w:rsid w:val="00E7291C"/>
    <w:rsid w:val="00E758E1"/>
    <w:rsid w:val="00E8325D"/>
    <w:rsid w:val="00E86674"/>
    <w:rsid w:val="00E86CA4"/>
    <w:rsid w:val="00E91622"/>
    <w:rsid w:val="00EA18B3"/>
    <w:rsid w:val="00EA4481"/>
    <w:rsid w:val="00EA5316"/>
    <w:rsid w:val="00EB147F"/>
    <w:rsid w:val="00EC0D93"/>
    <w:rsid w:val="00EC1179"/>
    <w:rsid w:val="00EC4DFF"/>
    <w:rsid w:val="00ED1646"/>
    <w:rsid w:val="00ED1649"/>
    <w:rsid w:val="00ED47A1"/>
    <w:rsid w:val="00ED4A98"/>
    <w:rsid w:val="00ED70B6"/>
    <w:rsid w:val="00ED7700"/>
    <w:rsid w:val="00EE061E"/>
    <w:rsid w:val="00EE3370"/>
    <w:rsid w:val="00EF13A5"/>
    <w:rsid w:val="00F015A1"/>
    <w:rsid w:val="00F06220"/>
    <w:rsid w:val="00F110CE"/>
    <w:rsid w:val="00F13DC1"/>
    <w:rsid w:val="00F15A58"/>
    <w:rsid w:val="00F2051A"/>
    <w:rsid w:val="00F24471"/>
    <w:rsid w:val="00F24C54"/>
    <w:rsid w:val="00F30BA1"/>
    <w:rsid w:val="00F317AF"/>
    <w:rsid w:val="00F3188B"/>
    <w:rsid w:val="00F328B8"/>
    <w:rsid w:val="00F41190"/>
    <w:rsid w:val="00F50F15"/>
    <w:rsid w:val="00F61539"/>
    <w:rsid w:val="00F61A0C"/>
    <w:rsid w:val="00F64F58"/>
    <w:rsid w:val="00F70A7C"/>
    <w:rsid w:val="00F7445C"/>
    <w:rsid w:val="00F77E7E"/>
    <w:rsid w:val="00F80D25"/>
    <w:rsid w:val="00F80F13"/>
    <w:rsid w:val="00F851B9"/>
    <w:rsid w:val="00F8718A"/>
    <w:rsid w:val="00F90891"/>
    <w:rsid w:val="00F908F7"/>
    <w:rsid w:val="00F9156F"/>
    <w:rsid w:val="00F9367E"/>
    <w:rsid w:val="00F93A50"/>
    <w:rsid w:val="00F97695"/>
    <w:rsid w:val="00FA1EEE"/>
    <w:rsid w:val="00FA28B0"/>
    <w:rsid w:val="00FA76DE"/>
    <w:rsid w:val="00FA7B4C"/>
    <w:rsid w:val="00FB0B94"/>
    <w:rsid w:val="00FB21DE"/>
    <w:rsid w:val="00FB328C"/>
    <w:rsid w:val="00FB48E1"/>
    <w:rsid w:val="00FC21B2"/>
    <w:rsid w:val="00FC48E4"/>
    <w:rsid w:val="00FC73AE"/>
    <w:rsid w:val="00FC7589"/>
    <w:rsid w:val="00FD267E"/>
    <w:rsid w:val="00FD536B"/>
    <w:rsid w:val="00FD6A49"/>
    <w:rsid w:val="00FE0BCA"/>
    <w:rsid w:val="00FE23C2"/>
    <w:rsid w:val="00FE2D42"/>
    <w:rsid w:val="00FE4266"/>
    <w:rsid w:val="00FE4B4E"/>
    <w:rsid w:val="00FE520C"/>
    <w:rsid w:val="00FE5A11"/>
    <w:rsid w:val="00FE6F0C"/>
    <w:rsid w:val="00FE7362"/>
    <w:rsid w:val="00FE7863"/>
    <w:rsid w:val="07180607"/>
    <w:rsid w:val="0A7103DC"/>
    <w:rsid w:val="18625F4B"/>
    <w:rsid w:val="2E146AFA"/>
    <w:rsid w:val="30412319"/>
    <w:rsid w:val="3D5D0772"/>
    <w:rsid w:val="423A7089"/>
    <w:rsid w:val="438F45EC"/>
    <w:rsid w:val="44906252"/>
    <w:rsid w:val="52E32CA8"/>
    <w:rsid w:val="5A3770D0"/>
    <w:rsid w:val="5C452654"/>
    <w:rsid w:val="5EC7446D"/>
    <w:rsid w:val="6B5F4D0F"/>
    <w:rsid w:val="6EB3611F"/>
    <w:rsid w:val="747610C2"/>
    <w:rsid w:val="7CBE1645"/>
    <w:rsid w:val="7FC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4">
    <w:name w:val="Body Text Indent 2"/>
    <w:basedOn w:val="1"/>
    <w:link w:val="18"/>
    <w:uiPriority w:val="0"/>
    <w:pPr>
      <w:ind w:firstLine="420"/>
    </w:pPr>
    <w:rPr>
      <w:rFonts w:ascii="Times New Roman" w:hAnsi="Times New Roman"/>
      <w:sz w:val="21"/>
      <w:szCs w:val="20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1"/>
      <w:szCs w:val="24"/>
    </w:rPr>
  </w:style>
  <w:style w:type="character" w:customStyle="1" w:styleId="16">
    <w:name w:val="页眉 字符"/>
    <w:basedOn w:val="11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缩进 2 字符"/>
    <w:basedOn w:val="11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apple-converted-space"/>
    <w:basedOn w:val="11"/>
    <w:qFormat/>
    <w:uiPriority w:val="0"/>
  </w:style>
  <w:style w:type="paragraph" w:customStyle="1" w:styleId="20">
    <w:name w:val="_Style 7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0"/>
      <w:szCs w:val="24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文字 字符"/>
    <w:basedOn w:val="11"/>
    <w:link w:val="2"/>
    <w:semiHidden/>
    <w:qFormat/>
    <w:uiPriority w:val="99"/>
    <w:rPr>
      <w:rFonts w:ascii="Calibri" w:hAnsi="Calibri" w:eastAsia="宋体" w:cs="Times New Roman"/>
      <w:sz w:val="28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="Calibri" w:hAnsi="Calibri" w:eastAsia="宋体" w:cs="Times New Roman"/>
      <w:b/>
      <w:bCs/>
      <w:sz w:val="28"/>
    </w:rPr>
  </w:style>
  <w:style w:type="paragraph" w:customStyle="1" w:styleId="24">
    <w:name w:val="修订1"/>
    <w:hidden/>
    <w:semiHidden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25">
    <w:name w:val="日期 字符"/>
    <w:basedOn w:val="11"/>
    <w:link w:val="3"/>
    <w:semiHidden/>
    <w:qFormat/>
    <w:uiPriority w:val="99"/>
    <w:rPr>
      <w:rFonts w:ascii="Calibri" w:hAnsi="Calibri" w:eastAsia="宋体" w:cs="Times New Roman"/>
      <w:sz w:val="28"/>
    </w:rPr>
  </w:style>
  <w:style w:type="paragraph" w:customStyle="1" w:styleId="26">
    <w:name w:val="修订2"/>
    <w:hidden/>
    <w:semiHidden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2162</Words>
  <Characters>12330</Characters>
  <Lines>102</Lines>
  <Paragraphs>28</Paragraphs>
  <TotalTime>51</TotalTime>
  <ScaleCrop>false</ScaleCrop>
  <LinksUpToDate>false</LinksUpToDate>
  <CharactersWithSpaces>14464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2021-06-03T01:17:00Z</dcterms:created>
  <dc:creator>pokjf</dc:creator>
  <cp:lastModifiedBy>sdaujiaowu</cp:lastModifiedBy>
  <cp:lastPrinted>2021-06-03T01:08:00Z</cp:lastPrinted>
  <dcterms:modified xsi:type="dcterms:W3CDTF">2023-09-14T07:52:59Z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4936881117964C4E96A0F9D80F438538</vt:lpwstr>
  </property>
</Properties>
</file>